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99D0" w14:textId="77777777" w:rsidR="00E61E86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保利联合化工控股集团股份有限公司</w:t>
      </w:r>
    </w:p>
    <w:p w14:paraId="58A28CEA" w14:textId="77777777" w:rsidR="00E61E86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2025年度董事会工作报告</w:t>
      </w:r>
    </w:p>
    <w:p w14:paraId="6F04CA5E" w14:textId="77777777" w:rsidR="00E61E86" w:rsidRDefault="00E61E86">
      <w:pPr>
        <w:pStyle w:val="a5"/>
        <w:spacing w:line="360" w:lineRule="exact"/>
        <w:ind w:firstLine="629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5D45E6D" w14:textId="77777777" w:rsidR="00E61E86" w:rsidRDefault="00000000">
      <w:pPr>
        <w:adjustRightInd w:val="0"/>
        <w:spacing w:line="560" w:lineRule="exact"/>
        <w:ind w:firstLineChars="200" w:firstLine="640"/>
        <w:outlineLvl w:val="0"/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2025年，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公司董事会始终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坚持以习近平新时代中国特色社会主义思想为指导，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深入贯彻党的二十大和二十届历次全会精神，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严格遵守《公司法》《公司章程》等有关规定，紧扣“向新行动”主线，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不断健全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治理结构</w:t>
      </w:r>
      <w:r>
        <w:rPr>
          <w:rFonts w:ascii="仿宋_GB2312" w:eastAsia="仿宋_GB2312" w:hAnsi="仿宋_GB2312" w:cs="仿宋_GB2312" w:hint="eastAsia"/>
          <w:sz w:val="32"/>
          <w:szCs w:val="32"/>
        </w:rPr>
        <w:t>，提升董事会规范运作水平，切实发挥“定战略、作决策、防风险”的核心职能。现将董事会2025年度主要工作报告如下：</w:t>
      </w:r>
    </w:p>
    <w:p w14:paraId="5F375330" w14:textId="77777777" w:rsidR="00E61E86" w:rsidRDefault="00000000">
      <w:pPr>
        <w:adjustRightInd w:val="0"/>
        <w:spacing w:line="560" w:lineRule="exact"/>
        <w:ind w:firstLineChars="200" w:firstLine="643"/>
        <w:outlineLvl w:val="0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一、2025年重点工作</w:t>
      </w:r>
    </w:p>
    <w:p w14:paraId="687F3F3D" w14:textId="77777777" w:rsidR="00E61E86" w:rsidRDefault="00000000">
      <w:pPr>
        <w:adjustRightInd w:val="0"/>
        <w:spacing w:beforeLines="50" w:before="156" w:line="560" w:lineRule="exact"/>
        <w:ind w:firstLineChars="200" w:firstLine="643"/>
        <w:outlineLvl w:val="0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（一）“定战略”，锚定战略路径，赋能改革发展根基</w:t>
      </w:r>
    </w:p>
    <w:p w14:paraId="74A9E917" w14:textId="77777777" w:rsidR="00E61E86" w:rsidRDefault="00000000">
      <w:pPr>
        <w:pStyle w:val="10"/>
        <w:spacing w:line="560" w:lineRule="exact"/>
        <w:ind w:firstLine="643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1.强化战略引领力，巩固核心功能定位</w:t>
      </w:r>
    </w:p>
    <w:p w14:paraId="356000B5" w14:textId="77777777" w:rsidR="00E61E86" w:rsidRDefault="00000000">
      <w:pPr>
        <w:pStyle w:val="10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紧密围绕新时代新征程国资国企使命与定位，以服务国家战略为牵引，聚焦民爆与矿山一体化方向，积极布局重点领域。通过对“十四五”规划执行情况的系统总结，进一步凝聚了发展共识，为“十五五”规划编制奠定了坚实基础。同时前瞻谋划“十五五”规划，紧扣国家需要与行业趋势，明确长远目标与实施路径，为公司高质量发展锚定方向。</w:t>
      </w:r>
    </w:p>
    <w:p w14:paraId="3F07E237" w14:textId="77777777" w:rsidR="00E61E86" w:rsidRDefault="00000000">
      <w:pPr>
        <w:pStyle w:val="10"/>
        <w:spacing w:line="560" w:lineRule="exact"/>
        <w:ind w:firstLine="643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2.市场战略协同推进，产能布局逐步优化</w:t>
      </w:r>
    </w:p>
    <w:p w14:paraId="2C7E363E" w14:textId="77777777" w:rsidR="00E61E86" w:rsidRDefault="00000000">
      <w:pPr>
        <w:pStyle w:val="10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董事会持续推动公司优化经营布局，加强区域战略统筹，聚焦核心区域与重点客户，市场开拓取得成效。二是持续优化产能布局与资源配置，推进产能跨区域调整和现场混装地面站建设，提升整体运营效率和保障能力。三是深化国际业务布局，子公司市场开拓稳中有进，国际竞争力进一步提升。</w:t>
      </w:r>
    </w:p>
    <w:p w14:paraId="00F3AF56" w14:textId="77777777" w:rsidR="00E61E86" w:rsidRDefault="00000000">
      <w:pPr>
        <w:spacing w:line="560" w:lineRule="exact"/>
        <w:ind w:firstLineChars="200" w:firstLine="643"/>
        <w:jc w:val="left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3.“科技+创新”双轮驱动，赋能产业数智化转型与核心能力跃升</w:t>
      </w:r>
    </w:p>
    <w:p w14:paraId="1F9A1C4F" w14:textId="77777777" w:rsidR="00E61E8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董事会紧密围绕发展战略性新兴产业与科技创新使命，健全科技创新规划体系。通过完善中长期科技发展规划，明确数智民爆、数智化生产、智能矿山等重点方向，推动全产业链数智化转型。新增专精特新企业、高新技术企业，科创实力持续增强，科技平台、标准制定和知识产权成果不断涌现。</w:t>
      </w:r>
    </w:p>
    <w:p w14:paraId="763CC0AA" w14:textId="77777777" w:rsidR="00E61E86" w:rsidRDefault="00000000">
      <w:pPr>
        <w:adjustRightInd w:val="0"/>
        <w:spacing w:line="560" w:lineRule="exact"/>
        <w:ind w:firstLineChars="200" w:firstLine="643"/>
        <w:outlineLvl w:val="0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（二）“作决策”，聚焦公司治理改革，夯实规范运作根基</w:t>
      </w:r>
    </w:p>
    <w:p w14:paraId="13B8276B" w14:textId="77777777" w:rsidR="00E61E86" w:rsidRDefault="00000000">
      <w:pPr>
        <w:adjustRightInd w:val="0"/>
        <w:spacing w:line="560" w:lineRule="exact"/>
        <w:ind w:firstLineChars="200" w:firstLine="643"/>
        <w:outlineLvl w:val="0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 xml:space="preserve">1.董事会会议召开情况 </w:t>
      </w:r>
    </w:p>
    <w:p w14:paraId="1ACCF416" w14:textId="77777777" w:rsidR="00E61E8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，公司共召开5次董事会会议，对公司关联交易、财务决算、利润分配、融资、担保等33项重大事项进行了研究和决策，公司董事出席了报告期内全部董事会，决议通过率100%，充分发挥了董事会的决策指导作用，较好地履行了董事会“定战略、作决策、防风险”的职能。董事会会议完全按照《公司法》《公司章程》及中国证监会和深圳证券交易所有关法规的要求，严格履行会议相关程序，会后及时进行了信息披露。</w:t>
      </w:r>
    </w:p>
    <w:p w14:paraId="43BCBD05" w14:textId="77777777" w:rsidR="00E61E86" w:rsidRDefault="00000000">
      <w:pPr>
        <w:adjustRightInd w:val="0"/>
        <w:spacing w:line="560" w:lineRule="exact"/>
        <w:ind w:firstLineChars="200" w:firstLine="643"/>
        <w:outlineLvl w:val="0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 xml:space="preserve">2.股东会召开及决议执行情况 </w:t>
      </w:r>
    </w:p>
    <w:p w14:paraId="3AAC382B" w14:textId="77777777" w:rsidR="00E61E86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度，公司董事会严格按照有关法律法规和《公司章程》《公司股东会议事规则》等规定，共召开3次股东会会议，对董事会提交的12项重大事项进行了审议，公司董事出席了报告期内全部股东会，决策事项通过率100%。董事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会严格按照股东会和《公司章程》所赋予的职权，认真落实、执行股东会审议通过的各项决议。</w:t>
      </w:r>
    </w:p>
    <w:p w14:paraId="7BF38ACE" w14:textId="77777777" w:rsidR="00E61E86" w:rsidRDefault="00000000">
      <w:pPr>
        <w:adjustRightInd w:val="0"/>
        <w:spacing w:line="560" w:lineRule="exact"/>
        <w:ind w:firstLineChars="200" w:firstLine="643"/>
        <w:outlineLvl w:val="0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3.公司治理体系改革与制度优化情况</w:t>
      </w:r>
    </w:p>
    <w:p w14:paraId="49210216" w14:textId="77777777" w:rsidR="00E61E8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司严格按照新《公司法》及监管机构最新政策导向，系统推进治理体系改革与配套机制建设。一是完成公司监事会改革，取消监事会与监事，将其职责统筹整合至审计委员会，并配套制定专项工作细则，实现监督职能的有效衔接。二是加强公司治理类核心制度建设，根据中国证监会《上市公司章程指引》《上市公司股东会规则》等制度，完成公司相关制度修订，形成闭环的治理制度体系。</w:t>
      </w:r>
    </w:p>
    <w:p w14:paraId="1259EC92" w14:textId="77777777" w:rsidR="00E61E86" w:rsidRDefault="00000000">
      <w:pPr>
        <w:pStyle w:val="110"/>
        <w:spacing w:line="560" w:lineRule="exact"/>
        <w:ind w:left="0" w:firstLineChars="200" w:firstLine="643"/>
        <w:rPr>
          <w:rFonts w:ascii="黑体" w:eastAsia="黑体" w:hAnsi="黑体" w:cs="黑体" w:hint="eastAsia"/>
          <w:bCs w:val="0"/>
        </w:rPr>
      </w:pPr>
      <w:r>
        <w:rPr>
          <w:rFonts w:ascii="黑体" w:eastAsia="黑体" w:hAnsi="黑体" w:cs="黑体" w:hint="eastAsia"/>
          <w:bCs w:val="0"/>
        </w:rPr>
        <w:t>4.董事会及各专门委员会的履职情况</w:t>
      </w:r>
    </w:p>
    <w:p w14:paraId="1ED56A11" w14:textId="77777777" w:rsidR="00E61E8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董事会各专门委员会认真履职，为完善公司治理结构、提高公司管理水平、促进公司发展等方面起到了积极的作用。2025年，全年组织召开董事会风控与审计委员会会议4次、薪酬与考核委员会会议2次、提名委员会1次、战略决策委员会1次以及独立董事专门会议2次，保障了各委员会职能的实质化运行。</w:t>
      </w:r>
    </w:p>
    <w:p w14:paraId="7C52DD86" w14:textId="77777777" w:rsidR="00E61E86" w:rsidRDefault="00000000">
      <w:pPr>
        <w:adjustRightInd w:val="0"/>
        <w:spacing w:line="560" w:lineRule="exact"/>
        <w:ind w:firstLineChars="200" w:firstLine="643"/>
        <w:outlineLvl w:val="0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（三）“防风险”，坚守风控堤坝，把牢稳健发展“方向盘”</w:t>
      </w:r>
    </w:p>
    <w:p w14:paraId="1209453C" w14:textId="77777777" w:rsidR="00E61E86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公司董事会高度重视经营风险防控，督促经营层系统构建风险防范体系，将应收账款管理作为重中之重，通过强化内控、创新管理方式等多维度措施，持续优化资产质量，保障公司现金流安全与资产稳健。二是公司持续强化审计监督、合规管理与法律风控，推动重点领域审计全覆盖，完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风险评估与内控整改，有效夯实治理基础。三是全面加强安全生产管理，深入开展安全培训与“诊断式”检查，组织多场应急演练，持续提升全员安全责任意识和风险防范能力，为公司稳健运营筑牢安全屏障。</w:t>
      </w:r>
    </w:p>
    <w:p w14:paraId="08B1C37A" w14:textId="77777777" w:rsidR="00E61E86" w:rsidRDefault="00000000">
      <w:pPr>
        <w:adjustRightInd w:val="0"/>
        <w:spacing w:line="560" w:lineRule="exact"/>
        <w:ind w:firstLineChars="200" w:firstLine="643"/>
        <w:outlineLvl w:val="0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（四）其他重点工作</w:t>
      </w:r>
    </w:p>
    <w:p w14:paraId="26A4C709" w14:textId="77777777" w:rsidR="00E61E86" w:rsidRDefault="00000000">
      <w:pPr>
        <w:adjustRightInd w:val="0"/>
        <w:spacing w:line="560" w:lineRule="exact"/>
        <w:ind w:firstLineChars="200" w:firstLine="643"/>
        <w:outlineLvl w:val="0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1.全面强化信息披露质量与效能</w:t>
      </w:r>
    </w:p>
    <w:p w14:paraId="1A746217" w14:textId="77777777" w:rsidR="00E61E86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一是严格信息披露工作。严格执行证监会、交易所及公司内部制度，全年高质量披露定期报告、自我评价、关联交易、诉讼进展等公告约85份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，使投资者及时了解、掌握公司经营动态、财务状况及公司重大事项。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二是督促强化合规意识，保障规范运行底线。推动公司通过总办会、专题会议等形式开展8次内部培训，并多次组织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“关键少数”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参与多层次资本市场专项学习，确保公司经营管理全程严守合规底线，实现稳健发展。</w:t>
      </w:r>
    </w:p>
    <w:p w14:paraId="7DE3BA35" w14:textId="77777777" w:rsidR="00E61E86" w:rsidRDefault="00000000">
      <w:pPr>
        <w:adjustRightInd w:val="0"/>
        <w:spacing w:line="560" w:lineRule="exact"/>
        <w:ind w:firstLineChars="200" w:firstLine="643"/>
        <w:outlineLvl w:val="0"/>
        <w:rPr>
          <w:rFonts w:ascii="黑体" w:eastAsia="黑体" w:hAnsi="黑体" w:cs="黑体" w:hint="eastAsia"/>
          <w:b/>
          <w:sz w:val="32"/>
          <w:szCs w:val="32"/>
        </w:rPr>
      </w:pPr>
      <w:bookmarkStart w:id="0" w:name="_Toc4213"/>
      <w:bookmarkStart w:id="1" w:name="_Toc11761"/>
      <w:r>
        <w:rPr>
          <w:rFonts w:ascii="黑体" w:eastAsia="黑体" w:hAnsi="黑体" w:cs="黑体" w:hint="eastAsia"/>
          <w:b/>
          <w:sz w:val="32"/>
          <w:szCs w:val="32"/>
        </w:rPr>
        <w:t>2.深化投资者关系管理</w:t>
      </w:r>
    </w:p>
    <w:p w14:paraId="246B89C1" w14:textId="77777777" w:rsidR="00E61E86" w:rsidRDefault="00000000">
      <w:pPr>
        <w:pStyle w:val="a9"/>
        <w:widowControl/>
        <w:shd w:val="clear" w:color="auto" w:fill="FFFFFF"/>
        <w:spacing w:beforeAutospacing="0" w:after="96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推动建立全方位投资者关系管理体系，耐心回应市场关切问题，运用“数据支撑+政策依据+战略关联”方法精准解答投资者提问。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全年累计接听咨询电话72个、回复网络平台提问135次，并及时处理邮件咨询，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答复率达100%。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通过业绩说明会、网络平台、电话邮件等多种渠道，系统梳理投资者关注焦点，及时传递公司发展战略与经营成果，增强投资者信心。</w:t>
      </w:r>
      <w:bookmarkEnd w:id="0"/>
      <w:bookmarkEnd w:id="1"/>
    </w:p>
    <w:p w14:paraId="4C906663" w14:textId="77777777" w:rsidR="00E61E86" w:rsidRDefault="00000000">
      <w:pPr>
        <w:pStyle w:val="a9"/>
        <w:widowControl/>
        <w:shd w:val="clear" w:color="auto" w:fill="FFFFFF"/>
        <w:spacing w:beforeAutospacing="0" w:after="96" w:afterAutospacing="0" w:line="560" w:lineRule="exact"/>
        <w:ind w:firstLineChars="200" w:firstLine="643"/>
        <w:rPr>
          <w:rFonts w:ascii="黑体" w:eastAsia="黑体" w:hAnsi="黑体" w:cs="黑体" w:hint="eastAsia"/>
          <w:b/>
          <w:kern w:val="2"/>
          <w:sz w:val="32"/>
          <w:szCs w:val="32"/>
        </w:rPr>
      </w:pPr>
      <w:r>
        <w:rPr>
          <w:rFonts w:ascii="黑体" w:eastAsia="黑体" w:hAnsi="黑体" w:cs="黑体" w:hint="eastAsia"/>
          <w:b/>
          <w:kern w:val="2"/>
          <w:sz w:val="32"/>
          <w:szCs w:val="32"/>
        </w:rPr>
        <w:t>3.深化市值管理制度体系建设</w:t>
      </w:r>
    </w:p>
    <w:p w14:paraId="5AB4C36C" w14:textId="77777777" w:rsidR="00E61E86" w:rsidRDefault="00000000">
      <w:pPr>
        <w:pStyle w:val="a9"/>
        <w:widowControl/>
        <w:shd w:val="clear" w:color="auto" w:fill="FFFFFF"/>
        <w:spacing w:beforeAutospacing="0" w:after="96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一是督促公司制定《保利联合市值管理制度》及配套方案，围绕资本运作、投资者关系、信息披露、激励机制等核心维度，夯实长效管理基础。二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是指导并审定ESG报告，全面展现公司在环境保护、社会责任和治理建设方面的实践成果，进一步提升公司在资本市场的可持续发展形象。</w:t>
      </w:r>
    </w:p>
    <w:p w14:paraId="63B9EFCE" w14:textId="77777777" w:rsidR="00E61E86" w:rsidRDefault="00000000">
      <w:pPr>
        <w:adjustRightInd w:val="0"/>
        <w:spacing w:line="560" w:lineRule="exact"/>
        <w:ind w:firstLineChars="200" w:firstLine="643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 xml:space="preserve">二、2026年董事会重点工作 </w:t>
      </w:r>
    </w:p>
    <w:p w14:paraId="6F31AF6A" w14:textId="77777777" w:rsidR="00E61E86" w:rsidRDefault="00000000">
      <w:pPr>
        <w:spacing w:line="560" w:lineRule="exact"/>
        <w:ind w:firstLineChars="200"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1. 战略引领谋新局，改革发展保定力</w:t>
      </w:r>
    </w:p>
    <w:p w14:paraId="60235FD4" w14:textId="77777777" w:rsidR="00E61E86" w:rsidRDefault="00000000">
      <w:pPr>
        <w:widowControl/>
        <w:adjustRightInd w:val="0"/>
        <w:spacing w:line="560" w:lineRule="exact"/>
        <w:ind w:firstLine="643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以战略思维谋全局，</w:t>
      </w:r>
      <w:r>
        <w:rPr>
          <w:rFonts w:ascii="仿宋_GB2312" w:eastAsia="仿宋_GB2312" w:hAnsi="仿宋_GB2312" w:cs="仿宋_GB2312"/>
          <w:sz w:val="32"/>
          <w:szCs w:val="32"/>
        </w:rPr>
        <w:t>科学编制“十五五”战略规划，聚焦主责主业，优化“民爆一体化、矿山一体化”战略布局，向富矿区及经济发达地区发力，</w:t>
      </w:r>
      <w:r>
        <w:rPr>
          <w:rFonts w:eastAsia="仿宋_GB2312" w:cs="仿宋_GB2312" w:hint="eastAsia"/>
          <w:sz w:val="32"/>
          <w:szCs w:val="32"/>
          <w:lang w:bidi="ar"/>
        </w:rPr>
        <w:t>靠前谋划一批重大项目和标志性工程，</w:t>
      </w:r>
      <w:r>
        <w:rPr>
          <w:rFonts w:ascii="仿宋_GB2312" w:eastAsia="仿宋_GB2312" w:hAnsi="仿宋_GB2312" w:cs="仿宋_GB2312"/>
          <w:sz w:val="32"/>
          <w:szCs w:val="32"/>
        </w:rPr>
        <w:t>打造新的业务增长极。二是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战略管理体系，以重点改革促提升，加快构建新型生产关系，推动战略目标融入到党建引领、价值提升、产业布局、创新引领、核心竞争力与改革赋能各个环节，持续巩固行业核心功能定位，强化高质量发展引擎。</w:t>
      </w:r>
    </w:p>
    <w:p w14:paraId="48203EA0" w14:textId="77777777" w:rsidR="00E61E86" w:rsidRDefault="00000000">
      <w:pPr>
        <w:pStyle w:val="a9"/>
        <w:widowControl/>
        <w:shd w:val="clear" w:color="auto" w:fill="FFFFFF"/>
        <w:spacing w:beforeLines="30" w:before="93" w:beforeAutospacing="0" w:afterLines="30" w:after="93" w:afterAutospacing="0" w:line="560" w:lineRule="exact"/>
        <w:ind w:firstLineChars="200" w:firstLine="643"/>
        <w:rPr>
          <w:rFonts w:ascii="黑体" w:eastAsia="黑体" w:hAnsi="黑体" w:cs="黑体" w:hint="eastAsia"/>
          <w:b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2"/>
          <w:sz w:val="32"/>
          <w:szCs w:val="32"/>
        </w:rPr>
        <w:t>2.深化治理体系建设，聚焦董事会决策赋能</w:t>
      </w:r>
    </w:p>
    <w:p w14:paraId="180F6E92" w14:textId="77777777" w:rsidR="00E61E86" w:rsidRDefault="00000000">
      <w:pPr>
        <w:pStyle w:val="10"/>
        <w:spacing w:line="56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一是完善治理制度与规则体系。依据最新监管要求与实际需要，对公司治理相关制度进行修订完善。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是优化运行机制与决策流程。通过完成董事会换届，明确各治理主体权责，优化运行与决策流程，提升治理效能。三是加强董事会专门委员会在战略、薪酬、审计与风控等方面的支撑作用，保障外部董事履职，并推动监事会结构改革与职能协同，切实提升监督效能。</w:t>
      </w:r>
    </w:p>
    <w:p w14:paraId="2311A6D7" w14:textId="77777777" w:rsidR="00E61E86" w:rsidRDefault="00000000">
      <w:pPr>
        <w:pStyle w:val="10"/>
        <w:spacing w:beforeLines="30" w:before="93" w:afterLines="30" w:after="93" w:line="560" w:lineRule="exact"/>
        <w:ind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3.科技创新激活力，增强核心竞争力</w:t>
      </w:r>
    </w:p>
    <w:p w14:paraId="773A4ABD" w14:textId="77777777" w:rsidR="00E61E86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公司坚持科技创新引领，完善创新机制与科创制度，优化产能结构，发挥国家企业技术中心等平台作用，推动传统产业转型与新兴产业培育。围绕智能装备、电子雷管全周期溯源等重点方向开展技术攻关，推动产学研深度融合，推动构建良好创新生态，为产业升级与战略落地提供支撑。</w:t>
      </w:r>
    </w:p>
    <w:p w14:paraId="12521D30" w14:textId="77777777" w:rsidR="00E61E86" w:rsidRDefault="00000000">
      <w:pPr>
        <w:pStyle w:val="a9"/>
        <w:widowControl/>
        <w:numPr>
          <w:ilvl w:val="0"/>
          <w:numId w:val="1"/>
        </w:numPr>
        <w:shd w:val="clear" w:color="auto" w:fill="FFFFFF"/>
        <w:spacing w:beforeLines="30" w:before="93" w:beforeAutospacing="0" w:afterLines="30" w:after="93" w:afterAutospacing="0" w:line="560" w:lineRule="exact"/>
        <w:ind w:firstLineChars="200" w:firstLine="643"/>
        <w:rPr>
          <w:rFonts w:ascii="黑体" w:eastAsia="黑体" w:hAnsi="黑体" w:cs="黑体" w:hint="eastAsia"/>
          <w:b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2"/>
          <w:sz w:val="32"/>
          <w:szCs w:val="32"/>
        </w:rPr>
        <w:t>统筹风险防控，筑牢发展底线</w:t>
      </w:r>
    </w:p>
    <w:p w14:paraId="73367CE5" w14:textId="77777777" w:rsidR="00E61E86" w:rsidRDefault="00000000">
      <w:pPr>
        <w:pStyle w:val="a9"/>
        <w:widowControl/>
        <w:shd w:val="clear" w:color="auto" w:fill="FFFFFF"/>
        <w:spacing w:beforeLines="30" w:before="93" w:beforeAutospacing="0" w:afterLines="30" w:after="93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大账款清收力度，督促公司持续加强资产与现金流管理，完善考核机制，同步强化审计监督，开展专项审计，夯实财务基础。健全内控与合规体系，提升风险预测能力，加强合同全流程管控。全面压实安全生产责任，推进治本攻坚行动，完善双重预防机制，保障安全投入与应急能力，严守安全发展底线。</w:t>
      </w:r>
    </w:p>
    <w:p w14:paraId="0C6261D1" w14:textId="77777777" w:rsidR="00E61E86" w:rsidRDefault="00000000">
      <w:pPr>
        <w:pStyle w:val="10"/>
        <w:spacing w:beforeLines="30" w:before="93" w:afterLines="30" w:after="93" w:line="560" w:lineRule="exact"/>
        <w:ind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5.深化市值管理，提升市场认同</w:t>
      </w:r>
    </w:p>
    <w:p w14:paraId="354F55E2" w14:textId="4BC2AA59" w:rsidR="00E61E86" w:rsidRDefault="00000000">
      <w:pPr>
        <w:pStyle w:val="10"/>
        <w:spacing w:line="56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加强资本市场研究，将市值管理更深层次地融入企业战略规划和日常经营，助力公司战略目标实现。优化投资者关系管理体系，完善信息披露与沟通机制，建立多层次、常态化的高管与投资者对话渠道，强化长期价值认同，树立公开、可信、负责任的上市公司形象。</w:t>
      </w:r>
    </w:p>
    <w:p w14:paraId="3F9E9977" w14:textId="77777777" w:rsidR="00E61E86" w:rsidRDefault="00E61E86">
      <w:pPr>
        <w:pStyle w:val="11"/>
        <w:spacing w:line="560" w:lineRule="exact"/>
        <w:ind w:firstLineChars="900" w:firstLine="2880"/>
        <w:rPr>
          <w:rFonts w:ascii="仿宋_GB2312" w:eastAsia="仿宋_GB2312" w:hAnsi="仿宋_GB2312" w:cs="仿宋_GB2312" w:hint="eastAsia"/>
          <w:sz w:val="32"/>
          <w:szCs w:val="32"/>
          <w:lang w:bidi="zh-TW"/>
        </w:rPr>
      </w:pPr>
    </w:p>
    <w:p w14:paraId="42724651" w14:textId="77777777" w:rsidR="00E61E86" w:rsidRDefault="00E61E86">
      <w:pPr>
        <w:pStyle w:val="11"/>
        <w:spacing w:line="560" w:lineRule="exact"/>
        <w:ind w:firstLineChars="900" w:firstLine="2880"/>
        <w:rPr>
          <w:rFonts w:ascii="仿宋_GB2312" w:eastAsia="仿宋_GB2312" w:hAnsi="仿宋_GB2312" w:cs="仿宋_GB2312" w:hint="eastAsia"/>
          <w:sz w:val="32"/>
          <w:szCs w:val="32"/>
          <w:lang w:bidi="zh-TW"/>
        </w:rPr>
      </w:pPr>
    </w:p>
    <w:p w14:paraId="35007455" w14:textId="77777777" w:rsidR="00E61E86" w:rsidRDefault="00000000">
      <w:pPr>
        <w:pStyle w:val="11"/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zh-TW"/>
        </w:rPr>
        <w:t>保利联合化工控股集团股份有限公司董事会</w:t>
      </w:r>
    </w:p>
    <w:p w14:paraId="6D7BB1B9" w14:textId="77777777" w:rsidR="00E61E86" w:rsidRDefault="00000000">
      <w:pPr>
        <w:pStyle w:val="11"/>
        <w:spacing w:line="560" w:lineRule="exact"/>
        <w:ind w:firstLineChars="1400" w:firstLine="4480"/>
        <w:rPr>
          <w:rFonts w:ascii="仿宋_GB2312" w:eastAsia="仿宋_GB2312" w:hAnsi="仿宋_GB2312" w:cs="仿宋_GB2312" w:hint="eastAsia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TW" w:bidi="zh-TW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lang w:bidi="zh-TW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eastAsia="zh-TW" w:bidi="zh-TW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bidi="zh-TW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TW" w:bidi="zh-TW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bidi="zh-TW"/>
        </w:rPr>
        <w:t>28日</w:t>
      </w:r>
    </w:p>
    <w:sectPr w:rsidR="00E61E8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D1F6" w14:textId="77777777" w:rsidR="00F02153" w:rsidRDefault="00F02153">
      <w:r>
        <w:separator/>
      </w:r>
    </w:p>
  </w:endnote>
  <w:endnote w:type="continuationSeparator" w:id="0">
    <w:p w14:paraId="63662FD1" w14:textId="77777777" w:rsidR="00F02153" w:rsidRDefault="00F0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0455CD2-8676-424E-9E31-0BEBAC9420A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979C1283-0806-43FA-BA62-11B2036812F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BBC1DAB-5372-492A-A278-3CF737A1F5D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F558EA4D-436B-4ACA-ADE5-A6B56128B69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9B29" w14:textId="77777777" w:rsidR="00E61E86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DE11A" wp14:editId="40B188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B793D" w14:textId="77777777" w:rsidR="00E61E86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DE11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CB793D" w14:textId="77777777" w:rsidR="00E61E86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178A" w14:textId="77777777" w:rsidR="00F02153" w:rsidRDefault="00F02153">
      <w:r>
        <w:separator/>
      </w:r>
    </w:p>
  </w:footnote>
  <w:footnote w:type="continuationSeparator" w:id="0">
    <w:p w14:paraId="5AAC0F78" w14:textId="77777777" w:rsidR="00F02153" w:rsidRDefault="00F02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34124C"/>
    <w:multiLevelType w:val="singleLevel"/>
    <w:tmpl w:val="B734124C"/>
    <w:lvl w:ilvl="0">
      <w:start w:val="4"/>
      <w:numFmt w:val="decimal"/>
      <w:suff w:val="space"/>
      <w:lvlText w:val="%1."/>
      <w:lvlJc w:val="left"/>
    </w:lvl>
  </w:abstractNum>
  <w:num w:numId="1" w16cid:durableId="147294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AC5C25"/>
    <w:rsid w:val="000313B8"/>
    <w:rsid w:val="0003562A"/>
    <w:rsid w:val="00060CBC"/>
    <w:rsid w:val="0008188F"/>
    <w:rsid w:val="000B5F65"/>
    <w:rsid w:val="000F2ACC"/>
    <w:rsid w:val="000F5AED"/>
    <w:rsid w:val="00286581"/>
    <w:rsid w:val="002C6D67"/>
    <w:rsid w:val="002D1209"/>
    <w:rsid w:val="00400873"/>
    <w:rsid w:val="004B510F"/>
    <w:rsid w:val="005001DC"/>
    <w:rsid w:val="00540064"/>
    <w:rsid w:val="005B60AE"/>
    <w:rsid w:val="005F1AE7"/>
    <w:rsid w:val="006B3A4E"/>
    <w:rsid w:val="006C714D"/>
    <w:rsid w:val="00701164"/>
    <w:rsid w:val="00714290"/>
    <w:rsid w:val="00760D8E"/>
    <w:rsid w:val="008409C0"/>
    <w:rsid w:val="00844698"/>
    <w:rsid w:val="00846033"/>
    <w:rsid w:val="00866162"/>
    <w:rsid w:val="0087167F"/>
    <w:rsid w:val="008729AF"/>
    <w:rsid w:val="008A30BB"/>
    <w:rsid w:val="008C5D18"/>
    <w:rsid w:val="0093097D"/>
    <w:rsid w:val="00942135"/>
    <w:rsid w:val="009514E1"/>
    <w:rsid w:val="00B06040"/>
    <w:rsid w:val="00C84DC2"/>
    <w:rsid w:val="00C904CF"/>
    <w:rsid w:val="00C948A3"/>
    <w:rsid w:val="00C96EBD"/>
    <w:rsid w:val="00CB3B0B"/>
    <w:rsid w:val="00DC6B29"/>
    <w:rsid w:val="00E61E86"/>
    <w:rsid w:val="00E86E66"/>
    <w:rsid w:val="00E91F8E"/>
    <w:rsid w:val="00F02153"/>
    <w:rsid w:val="00F21598"/>
    <w:rsid w:val="00F21878"/>
    <w:rsid w:val="00F235E3"/>
    <w:rsid w:val="00F74B48"/>
    <w:rsid w:val="01174757"/>
    <w:rsid w:val="016B41E7"/>
    <w:rsid w:val="01DF1206"/>
    <w:rsid w:val="02A27FBE"/>
    <w:rsid w:val="036A1510"/>
    <w:rsid w:val="03784778"/>
    <w:rsid w:val="03912F41"/>
    <w:rsid w:val="04310280"/>
    <w:rsid w:val="04DF4EC5"/>
    <w:rsid w:val="04E15BFB"/>
    <w:rsid w:val="06AD6562"/>
    <w:rsid w:val="084D7975"/>
    <w:rsid w:val="095C1FE8"/>
    <w:rsid w:val="0B732097"/>
    <w:rsid w:val="0BDA2FAB"/>
    <w:rsid w:val="0EE72DAF"/>
    <w:rsid w:val="0F452E31"/>
    <w:rsid w:val="0F7F0816"/>
    <w:rsid w:val="0FEF171B"/>
    <w:rsid w:val="10932577"/>
    <w:rsid w:val="14EE73AC"/>
    <w:rsid w:val="14F0496B"/>
    <w:rsid w:val="16B34A58"/>
    <w:rsid w:val="170654D2"/>
    <w:rsid w:val="189F03FF"/>
    <w:rsid w:val="18A922FD"/>
    <w:rsid w:val="1AD97C45"/>
    <w:rsid w:val="1B9F38C9"/>
    <w:rsid w:val="1C574148"/>
    <w:rsid w:val="1C9D2163"/>
    <w:rsid w:val="1F890B18"/>
    <w:rsid w:val="1FE12702"/>
    <w:rsid w:val="20A55A9C"/>
    <w:rsid w:val="21E045AD"/>
    <w:rsid w:val="22327245"/>
    <w:rsid w:val="22F0396D"/>
    <w:rsid w:val="23086084"/>
    <w:rsid w:val="235F09A9"/>
    <w:rsid w:val="244A6AC8"/>
    <w:rsid w:val="24EA75F1"/>
    <w:rsid w:val="254361CE"/>
    <w:rsid w:val="25A60F16"/>
    <w:rsid w:val="2634591B"/>
    <w:rsid w:val="263E57B9"/>
    <w:rsid w:val="26813CE9"/>
    <w:rsid w:val="27BB7053"/>
    <w:rsid w:val="286F20EF"/>
    <w:rsid w:val="29214463"/>
    <w:rsid w:val="296543A4"/>
    <w:rsid w:val="29C83B4A"/>
    <w:rsid w:val="29DF3186"/>
    <w:rsid w:val="2A9152A7"/>
    <w:rsid w:val="2B345234"/>
    <w:rsid w:val="2BF96811"/>
    <w:rsid w:val="2C1364E8"/>
    <w:rsid w:val="2C202DF2"/>
    <w:rsid w:val="2EF91817"/>
    <w:rsid w:val="2F49659E"/>
    <w:rsid w:val="2F7926C5"/>
    <w:rsid w:val="2FA4076B"/>
    <w:rsid w:val="302D708A"/>
    <w:rsid w:val="31140B8A"/>
    <w:rsid w:val="318A5A43"/>
    <w:rsid w:val="32052280"/>
    <w:rsid w:val="325C4F51"/>
    <w:rsid w:val="331D18DA"/>
    <w:rsid w:val="340B78F6"/>
    <w:rsid w:val="34443C4D"/>
    <w:rsid w:val="35A51E6E"/>
    <w:rsid w:val="36A75FFC"/>
    <w:rsid w:val="37242ED4"/>
    <w:rsid w:val="379520BC"/>
    <w:rsid w:val="382F0057"/>
    <w:rsid w:val="38FB6208"/>
    <w:rsid w:val="39795861"/>
    <w:rsid w:val="399D7242"/>
    <w:rsid w:val="39CD4764"/>
    <w:rsid w:val="3A190FBF"/>
    <w:rsid w:val="3BD00FAF"/>
    <w:rsid w:val="3BDE1802"/>
    <w:rsid w:val="3F8F0B87"/>
    <w:rsid w:val="40224945"/>
    <w:rsid w:val="4070745F"/>
    <w:rsid w:val="40EB14D5"/>
    <w:rsid w:val="411D1EE4"/>
    <w:rsid w:val="41CB742D"/>
    <w:rsid w:val="42647B9B"/>
    <w:rsid w:val="4306772B"/>
    <w:rsid w:val="430F11B1"/>
    <w:rsid w:val="44267D61"/>
    <w:rsid w:val="446077EA"/>
    <w:rsid w:val="460573F1"/>
    <w:rsid w:val="46A55988"/>
    <w:rsid w:val="46C40504"/>
    <w:rsid w:val="46E12E64"/>
    <w:rsid w:val="471770EA"/>
    <w:rsid w:val="472E374D"/>
    <w:rsid w:val="47517080"/>
    <w:rsid w:val="482A083B"/>
    <w:rsid w:val="485853A8"/>
    <w:rsid w:val="497F4B62"/>
    <w:rsid w:val="49CB542E"/>
    <w:rsid w:val="49D224D5"/>
    <w:rsid w:val="49D51883"/>
    <w:rsid w:val="49F339C1"/>
    <w:rsid w:val="4A5A010E"/>
    <w:rsid w:val="4AFA6B4B"/>
    <w:rsid w:val="4B3C6B9D"/>
    <w:rsid w:val="4C9B3AB5"/>
    <w:rsid w:val="4CAA1F4A"/>
    <w:rsid w:val="4D2B2FC8"/>
    <w:rsid w:val="4E367486"/>
    <w:rsid w:val="4E3D2B34"/>
    <w:rsid w:val="4E471BE0"/>
    <w:rsid w:val="4E7A444D"/>
    <w:rsid w:val="4F42443C"/>
    <w:rsid w:val="4F8151E4"/>
    <w:rsid w:val="4FA47DDE"/>
    <w:rsid w:val="50103782"/>
    <w:rsid w:val="501E2A33"/>
    <w:rsid w:val="504C1283"/>
    <w:rsid w:val="50DB03C5"/>
    <w:rsid w:val="5141533B"/>
    <w:rsid w:val="519D207E"/>
    <w:rsid w:val="51E00ECD"/>
    <w:rsid w:val="51EF4A62"/>
    <w:rsid w:val="522D75B0"/>
    <w:rsid w:val="52444D3D"/>
    <w:rsid w:val="53A15ECE"/>
    <w:rsid w:val="54B573A7"/>
    <w:rsid w:val="55135829"/>
    <w:rsid w:val="55680D14"/>
    <w:rsid w:val="56406014"/>
    <w:rsid w:val="564962BB"/>
    <w:rsid w:val="56B70B73"/>
    <w:rsid w:val="56DA21EE"/>
    <w:rsid w:val="5778469B"/>
    <w:rsid w:val="57CC3057"/>
    <w:rsid w:val="58B24661"/>
    <w:rsid w:val="59E448A1"/>
    <w:rsid w:val="5A050D30"/>
    <w:rsid w:val="5A2450EA"/>
    <w:rsid w:val="5AD121D5"/>
    <w:rsid w:val="5AF96357"/>
    <w:rsid w:val="5C2370B6"/>
    <w:rsid w:val="5C7577E6"/>
    <w:rsid w:val="5C894707"/>
    <w:rsid w:val="5D8C093F"/>
    <w:rsid w:val="5DC931C8"/>
    <w:rsid w:val="5F08322C"/>
    <w:rsid w:val="5F6B4B03"/>
    <w:rsid w:val="602A33F6"/>
    <w:rsid w:val="604C146A"/>
    <w:rsid w:val="604F08B5"/>
    <w:rsid w:val="60695F4D"/>
    <w:rsid w:val="612D1FDC"/>
    <w:rsid w:val="61AB15B8"/>
    <w:rsid w:val="624707C3"/>
    <w:rsid w:val="62910D25"/>
    <w:rsid w:val="63FA3C86"/>
    <w:rsid w:val="64744947"/>
    <w:rsid w:val="64C9055F"/>
    <w:rsid w:val="65086DA1"/>
    <w:rsid w:val="657D761A"/>
    <w:rsid w:val="662974CA"/>
    <w:rsid w:val="67292E49"/>
    <w:rsid w:val="67FF2A96"/>
    <w:rsid w:val="6A040A94"/>
    <w:rsid w:val="6AAC5C25"/>
    <w:rsid w:val="6AF0506B"/>
    <w:rsid w:val="6B4F7577"/>
    <w:rsid w:val="6BD97248"/>
    <w:rsid w:val="6C0134DD"/>
    <w:rsid w:val="6C300A32"/>
    <w:rsid w:val="6CAB1E87"/>
    <w:rsid w:val="6CF926BC"/>
    <w:rsid w:val="6D317F97"/>
    <w:rsid w:val="6D430958"/>
    <w:rsid w:val="6D745F31"/>
    <w:rsid w:val="6E70566F"/>
    <w:rsid w:val="6EBF6D20"/>
    <w:rsid w:val="6F3D66FC"/>
    <w:rsid w:val="6FB8483A"/>
    <w:rsid w:val="6FBE0BB4"/>
    <w:rsid w:val="6FE21CC2"/>
    <w:rsid w:val="71BD2F2F"/>
    <w:rsid w:val="72F90186"/>
    <w:rsid w:val="73E060CE"/>
    <w:rsid w:val="74283B1F"/>
    <w:rsid w:val="74340894"/>
    <w:rsid w:val="74441681"/>
    <w:rsid w:val="74C06409"/>
    <w:rsid w:val="74F040EF"/>
    <w:rsid w:val="75E317C1"/>
    <w:rsid w:val="760A4390"/>
    <w:rsid w:val="76C95719"/>
    <w:rsid w:val="78DA1496"/>
    <w:rsid w:val="78E5295C"/>
    <w:rsid w:val="792B7DEB"/>
    <w:rsid w:val="79ED250A"/>
    <w:rsid w:val="7B3C363D"/>
    <w:rsid w:val="7C345209"/>
    <w:rsid w:val="7C840BA6"/>
    <w:rsid w:val="7E14077C"/>
    <w:rsid w:val="7F2C0C3C"/>
    <w:rsid w:val="7F473382"/>
    <w:rsid w:val="7F6E0A32"/>
    <w:rsid w:val="7F7E1AE6"/>
    <w:rsid w:val="7FB0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C6152"/>
  <w15:docId w15:val="{54D53389-3138-46BD-A50D-F7483EA3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able of authorities" w:uiPriority="99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widowControl/>
      <w:spacing w:line="360" w:lineRule="auto"/>
    </w:pPr>
    <w:rPr>
      <w:kern w:val="40"/>
      <w:szCs w:val="20"/>
    </w:rPr>
  </w:style>
  <w:style w:type="paragraph" w:styleId="a4">
    <w:name w:val="table of authorities"/>
    <w:basedOn w:val="a"/>
    <w:next w:val="a"/>
    <w:uiPriority w:val="99"/>
    <w:qFormat/>
    <w:pPr>
      <w:ind w:leftChars="200" w:left="200"/>
    </w:pPr>
  </w:style>
  <w:style w:type="paragraph" w:styleId="a5">
    <w:name w:val="Normal Indent"/>
    <w:basedOn w:val="a"/>
    <w:next w:val="a"/>
    <w:qFormat/>
    <w:pPr>
      <w:ind w:firstLine="630"/>
    </w:pPr>
  </w:style>
  <w:style w:type="paragraph" w:styleId="a6">
    <w:name w:val="annotation text"/>
    <w:basedOn w:val="a"/>
    <w:qFormat/>
    <w:pPr>
      <w:jc w:val="left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ab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page number"/>
    <w:qFormat/>
    <w:rPr>
      <w:rFonts w:ascii="Calibri" w:eastAsia="宋体" w:hAnsi="Calibri" w:cs="Times New Roman"/>
    </w:rPr>
  </w:style>
  <w:style w:type="character" w:styleId="ae">
    <w:name w:val="Hyperlink"/>
    <w:basedOn w:val="a1"/>
    <w:qFormat/>
    <w:rPr>
      <w:color w:val="0000FF"/>
      <w:u w:val="single"/>
    </w:rPr>
  </w:style>
  <w:style w:type="character" w:styleId="af">
    <w:name w:val="annotation reference"/>
    <w:basedOn w:val="a1"/>
    <w:qFormat/>
    <w:rPr>
      <w:sz w:val="21"/>
      <w:szCs w:val="21"/>
    </w:rPr>
  </w:style>
  <w:style w:type="paragraph" w:customStyle="1" w:styleId="10">
    <w:name w:val="列出段落1"/>
    <w:basedOn w:val="11"/>
    <w:next w:val="a"/>
    <w:uiPriority w:val="99"/>
    <w:qFormat/>
    <w:pPr>
      <w:ind w:firstLineChars="200" w:firstLine="420"/>
    </w:pPr>
    <w:rPr>
      <w:szCs w:val="21"/>
    </w:rPr>
  </w:style>
  <w:style w:type="paragraph" w:customStyle="1" w:styleId="11">
    <w:name w:val="正文1"/>
    <w:next w:val="a4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Bodytext1">
    <w:name w:val="Body text|1"/>
    <w:basedOn w:val="a"/>
    <w:qFormat/>
    <w:pPr>
      <w:spacing w:line="408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af0">
    <w:name w:val="公文"/>
    <w:basedOn w:val="a"/>
    <w:qFormat/>
    <w:pPr>
      <w:ind w:firstLineChars="200" w:firstLine="560"/>
    </w:pPr>
    <w:rPr>
      <w:rFonts w:ascii="仿宋" w:eastAsia="仿宋" w:hAnsi="仿宋"/>
      <w:sz w:val="32"/>
    </w:rPr>
  </w:style>
  <w:style w:type="character" w:customStyle="1" w:styleId="NormalCharacter">
    <w:name w:val="NormalCharacter"/>
    <w:qFormat/>
    <w:rPr>
      <w:kern w:val="2"/>
      <w:sz w:val="21"/>
      <w:szCs w:val="24"/>
      <w:lang w:val="en-US" w:eastAsia="zh-CN" w:bidi="ar-SA"/>
    </w:rPr>
  </w:style>
  <w:style w:type="paragraph" w:customStyle="1" w:styleId="110">
    <w:name w:val="标题 11"/>
    <w:basedOn w:val="a"/>
    <w:uiPriority w:val="1"/>
    <w:qFormat/>
    <w:pPr>
      <w:ind w:left="739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customStyle="1" w:styleId="12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d17a4b7f-65d8-4791-bb25-fc34d0067d0e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12578093</paraID>
      <start>61</start>
      <end>64</end>
      <status>unmodified</status>
      <modifiedWord/>
      <trackRevisions>false</trackRevisions>
    </reviewItem>
    <reviewItem>
      <errorID>62de32c9-445c-4af9-a1f5-59b9407c79fe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6E31DE30</paraID>
      <start>138</start>
      <end>141</end>
      <status>unmodified</status>
      <modifiedWord/>
      <trackRevisions>false</trackRevisions>
    </reviewItem>
    <reviewItem>
      <errorID>27e4e48d-a91f-429e-a921-356c93e4a258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3AAFF2DC</paraID>
      <start>8</start>
      <end>11</end>
      <status>unmodified</status>
      <modifiedWord/>
      <trackRevisions>false</trackRevisions>
    </reviewItem>
    <reviewItem>
      <errorID>917f47fb-6d6c-4ec4-a47c-e0b824ce04bc</errorID>
      <errorWord>规则</errorWord>
      <group>L1_AI</group>
      <groupName>深度校对</groupName>
      <ability>L2_AI_Grammar</ability>
      <abilityName>语法纠错</abilityName>
      <candidateList>
        <item>议事规则</item>
      </candidateList>
      <explain/>
      <paraID>3AAFF2DC</paraID>
      <start>143</start>
      <end>145</end>
      <status>unmodified</status>
      <modifiedWord/>
      <trackRevisions>false</trackRevisions>
    </reviewItem>
    <reviewItem>
      <errorID>4f7a1947-f480-44ab-be29-edbde83682b3</errorID>
      <errorWord>改革发展保定</errorWord>
      <group>L1_Political</group>
      <groupName>政治性问题</groupName>
      <ability>L2_Keyword</ability>
      <abilityName>固定表述</abilityName>
      <candidateList>
        <item>改革发展稳定</item>
      </candidateList>
      <explain>词汇“改革发展稳定”在特定场景下为固定表述形式，请确认此处的“改革发展保定”是否存在不当。</explain>
      <paraID>2444A501</paraID>
      <start>11</start>
      <end>17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43B46CC-0D19-489B-B97A-B432C2BD0C91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李吉</cp:lastModifiedBy>
  <cp:revision>21</cp:revision>
  <cp:lastPrinted>2026-04-24T02:11:00Z</cp:lastPrinted>
  <dcterms:created xsi:type="dcterms:W3CDTF">2025-12-04T07:09:00Z</dcterms:created>
  <dcterms:modified xsi:type="dcterms:W3CDTF">2026-04-28T03:24:00Z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512EDB4DFBEA4F8388A8E74292A99D90_13</vt:lpwstr>
  </property>
  <property fmtid="{D5CDD505-2E9C-101B-9397-08002B2CF9AE}" pid="4" name="KSOTemplateDocerSaveRecord">
    <vt:lpwstr>eyJoZGlkIjoiMGY0MGQ3ODk5N2QxYjdkNjY3MTlkZTAxNjc0MDE3N2QiLCJ1c2VySWQiOiIxNjg3NzkyMzEyIn0=</vt:lpwstr>
  </property>
</Properties>
</file>