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8DE9" w14:textId="77777777" w:rsidR="00F54FA6" w:rsidRDefault="00000000">
      <w:pPr>
        <w:widowControl/>
        <w:spacing w:line="580" w:lineRule="exact"/>
        <w:ind w:firstLineChars="0" w:firstLine="0"/>
        <w:jc w:val="center"/>
        <w:rPr>
          <w:rFonts w:ascii="Times New Roman" w:eastAsia="华文中宋" w:hAnsi="Times New Roman" w:cs="Times New Roman"/>
          <w:kern w:val="0"/>
          <w:sz w:val="36"/>
          <w:szCs w:val="36"/>
          <w:lang w:bidi="ar"/>
        </w:rPr>
      </w:pPr>
      <w:r>
        <w:rPr>
          <w:rFonts w:ascii="Times New Roman" w:eastAsia="华文中宋" w:hAnsi="Times New Roman" w:cs="Times New Roman" w:hint="eastAsia"/>
          <w:kern w:val="0"/>
          <w:sz w:val="36"/>
          <w:szCs w:val="36"/>
          <w:lang w:bidi="ar"/>
        </w:rPr>
        <w:t>保利联合化工控股集团股份有限公司</w:t>
      </w:r>
    </w:p>
    <w:p w14:paraId="4B5101FB" w14:textId="77777777" w:rsidR="00F54FA6" w:rsidRDefault="00000000">
      <w:pPr>
        <w:widowControl/>
        <w:spacing w:line="580" w:lineRule="exact"/>
        <w:ind w:firstLineChars="0" w:firstLine="0"/>
        <w:jc w:val="center"/>
        <w:rPr>
          <w:rFonts w:ascii="Times New Roman" w:eastAsia="华文中宋" w:hAnsi="Times New Roman" w:cs="Times New Roman"/>
          <w:kern w:val="0"/>
          <w:sz w:val="36"/>
          <w:szCs w:val="36"/>
          <w:lang w:bidi="ar"/>
        </w:rPr>
      </w:pPr>
      <w:r>
        <w:rPr>
          <w:rFonts w:ascii="Times New Roman" w:eastAsia="华文中宋" w:hAnsi="Times New Roman" w:cs="Times New Roman"/>
          <w:kern w:val="0"/>
          <w:sz w:val="36"/>
          <w:szCs w:val="36"/>
          <w:lang w:bidi="ar"/>
        </w:rPr>
        <w:t>董事、高级管理人员薪酬</w:t>
      </w:r>
      <w:r>
        <w:rPr>
          <w:rFonts w:ascii="Times New Roman" w:eastAsia="华文中宋" w:hAnsi="Times New Roman" w:cs="Times New Roman" w:hint="eastAsia"/>
          <w:kern w:val="0"/>
          <w:sz w:val="36"/>
          <w:szCs w:val="36"/>
          <w:lang w:bidi="ar"/>
        </w:rPr>
        <w:t>管理</w:t>
      </w:r>
      <w:r>
        <w:rPr>
          <w:rFonts w:ascii="Times New Roman" w:eastAsia="华文中宋" w:hAnsi="Times New Roman" w:cs="Times New Roman"/>
          <w:kern w:val="0"/>
          <w:sz w:val="36"/>
          <w:szCs w:val="36"/>
          <w:lang w:bidi="ar"/>
        </w:rPr>
        <w:t>制度</w:t>
      </w:r>
    </w:p>
    <w:p w14:paraId="7DC5C7F5" w14:textId="77777777" w:rsidR="00F54FA6" w:rsidRDefault="00F54FA6">
      <w:pPr>
        <w:spacing w:line="580" w:lineRule="exact"/>
        <w:ind w:firstLineChars="0" w:firstLine="0"/>
        <w:jc w:val="center"/>
        <w:rPr>
          <w:rFonts w:ascii="仿宋_GB2312" w:hAnsi="仿宋_GB2312" w:cs="仿宋_GB2312" w:hint="eastAsia"/>
        </w:rPr>
      </w:pPr>
    </w:p>
    <w:p w14:paraId="2794F0AD" w14:textId="77777777" w:rsidR="00F54FA6" w:rsidRDefault="00000000">
      <w:pPr>
        <w:pStyle w:val="a5"/>
        <w:numPr>
          <w:ilvl w:val="0"/>
          <w:numId w:val="2"/>
        </w:numPr>
        <w:spacing w:after="0" w:line="580" w:lineRule="exact"/>
        <w:ind w:left="0" w:firstLineChars="0" w:firstLine="0"/>
        <w:jc w:val="center"/>
        <w:outlineLvl w:val="0"/>
        <w:rPr>
          <w:rFonts w:ascii="仿宋_GB2312" w:hAnsi="仿宋_GB2312" w:cs="仿宋_GB2312" w:hint="eastAsia"/>
          <w:b/>
          <w:bCs/>
        </w:rPr>
      </w:pPr>
      <w:r>
        <w:rPr>
          <w:rFonts w:ascii="仿宋_GB2312" w:hAnsi="仿宋_GB2312" w:cs="仿宋_GB2312" w:hint="eastAsia"/>
          <w:b/>
          <w:bCs/>
        </w:rPr>
        <w:t>总 则</w:t>
      </w:r>
    </w:p>
    <w:p w14:paraId="17E1DB44" w14:textId="77777777" w:rsidR="00F54FA6" w:rsidRDefault="00000000">
      <w:pPr>
        <w:pStyle w:val="2"/>
        <w:keepLines w:val="0"/>
        <w:numPr>
          <w:ilvl w:val="0"/>
          <w:numId w:val="3"/>
        </w:numPr>
        <w:tabs>
          <w:tab w:val="clear" w:pos="2400"/>
        </w:tabs>
        <w:spacing w:line="580" w:lineRule="exact"/>
        <w:ind w:left="0" w:firstLine="640"/>
        <w:jc w:val="both"/>
      </w:pPr>
      <w:r>
        <w:rPr>
          <w:rFonts w:ascii="仿宋_GB2312" w:eastAsia="仿宋_GB2312" w:hAnsi="仿宋_GB2312" w:cs="仿宋_GB2312" w:hint="eastAsia"/>
          <w:kern w:val="0"/>
          <w:lang w:bidi="ar"/>
        </w:rPr>
        <w:t>为进一步完善保利联合化工控股集团股份有限公司（以下简称“公司</w:t>
      </w:r>
      <w:r>
        <w:rPr>
          <w:rFonts w:ascii="仿宋_GB2312" w:eastAsia="仿宋_GB2312" w:hAnsi="仿宋_GB2312" w:cs="仿宋_GB2312"/>
          <w:kern w:val="0"/>
          <w:lang w:bidi="ar"/>
        </w:rPr>
        <w:t>”</w:t>
      </w:r>
      <w:r>
        <w:rPr>
          <w:rFonts w:ascii="仿宋_GB2312" w:eastAsia="仿宋_GB2312" w:hAnsi="仿宋_GB2312" w:cs="仿宋_GB2312" w:hint="eastAsia"/>
          <w:kern w:val="0"/>
          <w:lang w:bidi="ar"/>
        </w:rPr>
        <w:t>）董事、高级管理人员薪酬管理，建立科学有效的激励与约束机制，根据《中华人民共和国公司法》《上市公司治理准则》《上市公司独立董事管理办法》《保利联合化工控股集团股份有限公司章程》（以下简称《公司章程》）及其他相关法律法规、规范性文件的规定，结合公司实际情况，制定本制度。</w:t>
      </w:r>
    </w:p>
    <w:p w14:paraId="4EA57EF1" w14:textId="77777777" w:rsidR="00F54FA6" w:rsidRDefault="00000000">
      <w:pPr>
        <w:pStyle w:val="2"/>
        <w:keepLines w:val="0"/>
        <w:numPr>
          <w:ilvl w:val="0"/>
          <w:numId w:val="3"/>
        </w:numPr>
        <w:tabs>
          <w:tab w:val="clear" w:pos="2400"/>
        </w:tabs>
        <w:spacing w:line="580" w:lineRule="exact"/>
        <w:ind w:left="0" w:firstLine="640"/>
        <w:jc w:val="both"/>
      </w:pPr>
      <w:r>
        <w:rPr>
          <w:rFonts w:ascii="仿宋_GB2312" w:eastAsia="仿宋_GB2312" w:hAnsi="仿宋_GB2312" w:cs="仿宋_GB2312" w:hint="eastAsia"/>
          <w:kern w:val="0"/>
          <w:lang w:bidi="ar"/>
        </w:rPr>
        <w:t>本制度适用于公司章程规定的董事、高级管理人员。</w:t>
      </w:r>
    </w:p>
    <w:p w14:paraId="3E03C914"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 xml:space="preserve">董事和高级管理人员薪酬管理遵循以下原则： </w:t>
      </w:r>
    </w:p>
    <w:p w14:paraId="3245E2D4" w14:textId="77777777" w:rsidR="00F54FA6" w:rsidRDefault="00000000">
      <w:pPr>
        <w:pStyle w:val="2"/>
        <w:keepLines w:val="0"/>
        <w:numPr>
          <w:ilvl w:val="1"/>
          <w:numId w:val="0"/>
        </w:numPr>
        <w:spacing w:line="580" w:lineRule="exact"/>
        <w:ind w:firstLineChars="20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 xml:space="preserve">（一）坚持市场化导向。 </w:t>
      </w:r>
    </w:p>
    <w:p w14:paraId="3E1B9B55" w14:textId="77777777" w:rsidR="00F54FA6" w:rsidRDefault="00000000">
      <w:pPr>
        <w:pStyle w:val="2"/>
        <w:keepLines w:val="0"/>
        <w:numPr>
          <w:ilvl w:val="1"/>
          <w:numId w:val="0"/>
        </w:numPr>
        <w:spacing w:line="580" w:lineRule="exact"/>
        <w:ind w:firstLineChars="20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 xml:space="preserve">（二）坚持激励与约束相统一的导向。 </w:t>
      </w:r>
    </w:p>
    <w:p w14:paraId="4422EE2F" w14:textId="77777777" w:rsidR="00F54FA6" w:rsidRDefault="00000000">
      <w:pPr>
        <w:pStyle w:val="2"/>
        <w:keepLines w:val="0"/>
        <w:numPr>
          <w:ilvl w:val="1"/>
          <w:numId w:val="0"/>
        </w:numPr>
        <w:spacing w:line="580" w:lineRule="exact"/>
        <w:ind w:firstLineChars="20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（三）坚持业绩导向，薪酬与经营质量紧密挂钩。</w:t>
      </w:r>
    </w:p>
    <w:p w14:paraId="0B1866E8" w14:textId="77777777" w:rsidR="00F54FA6" w:rsidRDefault="00000000">
      <w:pPr>
        <w:ind w:firstLine="643"/>
        <w:jc w:val="center"/>
        <w:rPr>
          <w:rFonts w:ascii="仿宋" w:eastAsia="仿宋" w:hAnsi="仿宋" w:cs="仿宋" w:hint="eastAsia"/>
          <w:b/>
          <w:bCs/>
        </w:rPr>
      </w:pPr>
      <w:r>
        <w:rPr>
          <w:rFonts w:ascii="仿宋_GB2312" w:hAnsi="仿宋_GB2312" w:cs="仿宋_GB2312" w:hint="eastAsia"/>
          <w:b/>
          <w:bCs/>
        </w:rPr>
        <w:t>第二章 管理机构</w:t>
      </w:r>
    </w:p>
    <w:p w14:paraId="42307FFD" w14:textId="77777777" w:rsidR="00F54FA6" w:rsidRDefault="00000000">
      <w:pPr>
        <w:pStyle w:val="2"/>
        <w:keepLines w:val="0"/>
        <w:numPr>
          <w:ilvl w:val="0"/>
          <w:numId w:val="3"/>
        </w:numPr>
        <w:tabs>
          <w:tab w:val="clear" w:pos="2400"/>
        </w:tabs>
        <w:spacing w:line="580" w:lineRule="exact"/>
        <w:ind w:left="0" w:firstLine="640"/>
        <w:jc w:val="both"/>
      </w:pPr>
      <w:r>
        <w:rPr>
          <w:rFonts w:ascii="仿宋_GB2312" w:eastAsia="仿宋_GB2312" w:hAnsi="仿宋_GB2312" w:cs="仿宋_GB2312" w:hint="eastAsia"/>
          <w:kern w:val="0"/>
          <w:lang w:bidi="ar"/>
        </w:rPr>
        <w:t>董事会薪酬与考核委员会负责制定董事、高级管理人员的考核标准并进行考核，制定、审查董事、高级管理人员的薪酬决定机制、决策流程、支付与止付追索安排等薪酬政策与方案，并就董事、高级管理人员的薪酬等事项向董事会提出建议。</w:t>
      </w:r>
    </w:p>
    <w:p w14:paraId="59AADF1B"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lastRenderedPageBreak/>
        <w:t xml:space="preserve">公司董事、高级管理人员薪酬方案由董事会薪酬与考核委员会制定，明确薪酬确定依据和具体构成。董事薪酬方案由股东会决定，并予以披露。在董事会或者董事会薪酬与考核委员会对董事个人进行评价或者讨论其报酬时，该董事应当回避。 </w:t>
      </w:r>
    </w:p>
    <w:p w14:paraId="0B3DF29E"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高级管理人员薪酬方案由董事会批准，向股东会说明，并予以充分披露。</w:t>
      </w:r>
    </w:p>
    <w:p w14:paraId="629148C6" w14:textId="77777777" w:rsidR="00F54FA6" w:rsidRDefault="00000000">
      <w:pPr>
        <w:pStyle w:val="2"/>
        <w:keepLines w:val="0"/>
        <w:numPr>
          <w:ilvl w:val="0"/>
          <w:numId w:val="3"/>
        </w:numPr>
        <w:tabs>
          <w:tab w:val="clear" w:pos="2400"/>
        </w:tabs>
        <w:spacing w:line="580" w:lineRule="exact"/>
        <w:ind w:left="0" w:firstLine="640"/>
        <w:jc w:val="both"/>
      </w:pPr>
      <w:r>
        <w:rPr>
          <w:rFonts w:ascii="仿宋_GB2312" w:eastAsia="仿宋_GB2312" w:hAnsi="仿宋_GB2312" w:cs="仿宋_GB2312" w:hint="eastAsia"/>
          <w:kern w:val="0"/>
          <w:lang w:bidi="ar"/>
        </w:rPr>
        <w:t>若公司处于亏损状态，应当在董事、高级管理人员薪酬审议各环节特别说明董事、高级管理人员薪酬变化是否符合业绩联动要求。公司较上一会计年度由盈利转为亏损或者亏损扩大，董事、高级管理人员平均绩效薪酬未相应下降的，应当披露原因。</w:t>
      </w:r>
    </w:p>
    <w:p w14:paraId="7AA1C8AA" w14:textId="77777777" w:rsidR="00F54FA6" w:rsidRDefault="00000000">
      <w:pPr>
        <w:ind w:firstLine="643"/>
        <w:jc w:val="center"/>
        <w:rPr>
          <w:rFonts w:ascii="仿宋_GB2312" w:hAnsi="仿宋_GB2312" w:cs="仿宋_GB2312" w:hint="eastAsia"/>
          <w:b/>
          <w:bCs/>
        </w:rPr>
      </w:pPr>
      <w:r>
        <w:rPr>
          <w:rFonts w:ascii="仿宋_GB2312" w:hAnsi="仿宋_GB2312" w:cs="仿宋_GB2312" w:hint="eastAsia"/>
          <w:b/>
          <w:bCs/>
        </w:rPr>
        <w:t>第三章 薪酬标准、构成与考核</w:t>
      </w:r>
    </w:p>
    <w:p w14:paraId="2B9C21D0"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公司董事、高级管理人员</w:t>
      </w:r>
      <w:proofErr w:type="gramStart"/>
      <w:r>
        <w:rPr>
          <w:rFonts w:ascii="仿宋_GB2312" w:eastAsia="仿宋_GB2312" w:hAnsi="仿宋_GB2312" w:cs="仿宋_GB2312" w:hint="eastAsia"/>
          <w:kern w:val="0"/>
          <w:lang w:bidi="ar"/>
        </w:rPr>
        <w:t>薪</w:t>
      </w:r>
      <w:proofErr w:type="gramEnd"/>
      <w:r>
        <w:rPr>
          <w:rFonts w:ascii="仿宋_GB2312" w:eastAsia="仿宋_GB2312" w:hAnsi="仿宋_GB2312" w:cs="仿宋_GB2312" w:hint="eastAsia"/>
          <w:kern w:val="0"/>
          <w:lang w:bidi="ar"/>
        </w:rPr>
        <w:t>酬应当与市场发展相适应，与公司经营业绩、个人业绩相匹配，与公司可持续发展相协调。</w:t>
      </w:r>
    </w:p>
    <w:p w14:paraId="1FC9EC60"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 xml:space="preserve">公司董事、高级管理人员薪酬、津贴发放范围：   </w:t>
      </w:r>
    </w:p>
    <w:p w14:paraId="207DE11D" w14:textId="77777777" w:rsidR="00F54FA6" w:rsidRDefault="00000000">
      <w:pPr>
        <w:pStyle w:val="2"/>
        <w:keepLines w:val="0"/>
        <w:numPr>
          <w:ilvl w:val="0"/>
          <w:numId w:val="4"/>
        </w:numPr>
        <w:spacing w:line="580" w:lineRule="exact"/>
        <w:ind w:firstLineChars="20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外部董事（独立董事除外）不在公司领取薪酬，但经股东会另行批准的除外；</w:t>
      </w:r>
    </w:p>
    <w:p w14:paraId="1831DEE5" w14:textId="77777777" w:rsidR="00F54FA6" w:rsidRDefault="00000000">
      <w:pPr>
        <w:pStyle w:val="2"/>
        <w:keepLines w:val="0"/>
        <w:numPr>
          <w:ilvl w:val="0"/>
          <w:numId w:val="4"/>
        </w:numPr>
        <w:spacing w:line="580" w:lineRule="exact"/>
        <w:ind w:firstLineChars="20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 xml:space="preserve">独立董事由公司给予与其承担的职责相适应的津贴，津贴的标准应当由董事会制定方案，股东会审议通过。除此之外独立董事不在公司领取其他薪酬。 </w:t>
      </w:r>
    </w:p>
    <w:p w14:paraId="4C40A400" w14:textId="77777777" w:rsidR="00F54FA6" w:rsidRDefault="00000000">
      <w:pPr>
        <w:pStyle w:val="2"/>
        <w:keepLines w:val="0"/>
        <w:numPr>
          <w:ilvl w:val="0"/>
          <w:numId w:val="4"/>
        </w:numPr>
        <w:spacing w:line="580" w:lineRule="exact"/>
        <w:ind w:firstLineChars="20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内部董事和高级管理人员的薪酬由公司发放；兼</w:t>
      </w:r>
      <w:r>
        <w:rPr>
          <w:rFonts w:ascii="仿宋_GB2312" w:eastAsia="仿宋_GB2312" w:hAnsi="仿宋_GB2312" w:cs="仿宋_GB2312" w:hint="eastAsia"/>
          <w:kern w:val="0"/>
          <w:lang w:bidi="ar"/>
        </w:rPr>
        <w:lastRenderedPageBreak/>
        <w:t>任高级管理人员的董事，其薪酬按高级管理人员标准确定。职工董事因担任职工董事以外的岗位，薪酬按公司相关薪酬管理制度领取。</w:t>
      </w:r>
    </w:p>
    <w:p w14:paraId="66E05F4D"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内部董事和高级管理人员的薪酬标准以公司经营状况和绩效考核情况为基础，根据公司经营计划和分管工作的职责、目标等进行综合考核确定。内部董事和高级管理人员一定比例的绩效年薪在年度报告披露和绩效评价后支付。</w:t>
      </w:r>
    </w:p>
    <w:p w14:paraId="48B4FBDE"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内部董事（职工董事除外）和高级管理人员的薪酬由年度薪酬（含基本年薪、绩效年薪）和任期激励收入等组成。其中绩效年薪占比原则上不低于年度薪酬的百分之六十。</w:t>
      </w:r>
    </w:p>
    <w:p w14:paraId="622F46E4" w14:textId="77777777" w:rsidR="00F54FA6" w:rsidRDefault="00000000">
      <w:pPr>
        <w:pStyle w:val="2"/>
        <w:keepLines w:val="0"/>
        <w:numPr>
          <w:ilvl w:val="0"/>
          <w:numId w:val="5"/>
        </w:numPr>
        <w:spacing w:line="580" w:lineRule="exact"/>
        <w:ind w:firstLineChars="20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基本年薪：是指年度基本收入。根据岗位分工，差异</w:t>
      </w:r>
      <w:proofErr w:type="gramStart"/>
      <w:r>
        <w:rPr>
          <w:rFonts w:ascii="仿宋_GB2312" w:eastAsia="仿宋_GB2312" w:hAnsi="仿宋_GB2312" w:cs="仿宋_GB2312" w:hint="eastAsia"/>
          <w:kern w:val="0"/>
          <w:lang w:bidi="ar"/>
        </w:rPr>
        <w:t>化设置</w:t>
      </w:r>
      <w:proofErr w:type="gramEnd"/>
      <w:r>
        <w:rPr>
          <w:rFonts w:ascii="仿宋_GB2312" w:eastAsia="仿宋_GB2312" w:hAnsi="仿宋_GB2312" w:cs="仿宋_GB2312" w:hint="eastAsia"/>
          <w:kern w:val="0"/>
          <w:lang w:bidi="ar"/>
        </w:rPr>
        <w:t>岗位系数。</w:t>
      </w:r>
    </w:p>
    <w:p w14:paraId="4ABF9176" w14:textId="77777777" w:rsidR="00F54FA6" w:rsidRDefault="00000000">
      <w:pPr>
        <w:pStyle w:val="2"/>
        <w:keepLines w:val="0"/>
        <w:numPr>
          <w:ilvl w:val="0"/>
          <w:numId w:val="5"/>
        </w:numPr>
        <w:spacing w:line="580" w:lineRule="exact"/>
        <w:ind w:firstLineChars="20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绩效年薪：是指与年度经营业绩考核结果紧密挂钩的收入。</w:t>
      </w:r>
    </w:p>
    <w:p w14:paraId="323C46A4" w14:textId="77777777" w:rsidR="00F54FA6" w:rsidRDefault="00000000">
      <w:pPr>
        <w:pStyle w:val="2"/>
        <w:keepLines w:val="0"/>
        <w:numPr>
          <w:ilvl w:val="0"/>
          <w:numId w:val="5"/>
        </w:numPr>
        <w:spacing w:line="580" w:lineRule="exact"/>
        <w:ind w:firstLineChars="20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任期激励收入：是指与任期经营业绩考核结果挂钩的薪酬收入。</w:t>
      </w:r>
    </w:p>
    <w:p w14:paraId="4D6ED533" w14:textId="77777777" w:rsidR="00F54FA6" w:rsidRDefault="00000000">
      <w:pPr>
        <w:ind w:firstLine="643"/>
        <w:jc w:val="center"/>
        <w:rPr>
          <w:rFonts w:ascii="仿宋_GB2312" w:hAnsi="仿宋_GB2312" w:cs="仿宋_GB2312" w:hint="eastAsia"/>
          <w:b/>
          <w:bCs/>
        </w:rPr>
      </w:pPr>
      <w:r>
        <w:rPr>
          <w:rFonts w:ascii="仿宋_GB2312" w:hAnsi="仿宋_GB2312" w:cs="仿宋_GB2312" w:hint="eastAsia"/>
          <w:b/>
          <w:bCs/>
        </w:rPr>
        <w:t>第四章 薪酬发放与追回</w:t>
      </w:r>
    </w:p>
    <w:p w14:paraId="2FF5D447"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独立董事津贴依据股东会确定的标准，由公司定期发放。</w:t>
      </w:r>
    </w:p>
    <w:p w14:paraId="04DD7DF7"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 xml:space="preserve">内部董事（职工董事除外）和高级管理人员薪酬的发放采用按月预支和年度结算的形式。具体为：      </w:t>
      </w:r>
    </w:p>
    <w:p w14:paraId="40361BDC" w14:textId="77777777" w:rsidR="00F54FA6" w:rsidRDefault="00000000">
      <w:pPr>
        <w:pStyle w:val="2"/>
        <w:keepLines w:val="0"/>
        <w:numPr>
          <w:ilvl w:val="0"/>
          <w:numId w:val="6"/>
        </w:numPr>
        <w:spacing w:line="580" w:lineRule="exact"/>
        <w:ind w:firstLineChars="20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lastRenderedPageBreak/>
        <w:t xml:space="preserve">按月预支：内部董事和高级管理人员按月预支一定比例薪酬。 </w:t>
      </w:r>
    </w:p>
    <w:p w14:paraId="76D7AA6C" w14:textId="77777777" w:rsidR="00F54FA6" w:rsidRDefault="00000000">
      <w:pPr>
        <w:pStyle w:val="2"/>
        <w:keepLines w:val="0"/>
        <w:numPr>
          <w:ilvl w:val="0"/>
          <w:numId w:val="6"/>
        </w:numPr>
        <w:spacing w:line="580" w:lineRule="exact"/>
        <w:ind w:firstLineChars="20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年度结算：依据年度经营业绩考核结果核算年度薪酬总额，扣减已预支薪酬后，补发差额。</w:t>
      </w:r>
    </w:p>
    <w:p w14:paraId="4AB1F9D4" w14:textId="77777777" w:rsidR="00F54FA6" w:rsidRDefault="00000000">
      <w:pPr>
        <w:pStyle w:val="2"/>
        <w:keepLines w:val="0"/>
        <w:numPr>
          <w:ilvl w:val="0"/>
          <w:numId w:val="6"/>
        </w:numPr>
        <w:spacing w:line="580" w:lineRule="exact"/>
        <w:ind w:firstLineChars="20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任期激励收入：在任期届满后一次性或分期支付。</w:t>
      </w:r>
    </w:p>
    <w:p w14:paraId="28CA18F4"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公司董事、高级管理人员薪酬、津贴均为税前收入，独立董事由其自行申报相关个人所得税，其余董事、高级管理人员公司将按照国家和公司的有关规定代扣代缴由其个人承担的各项社会保险费用、住房公积金以及个人所得税等费用。</w:t>
      </w:r>
    </w:p>
    <w:p w14:paraId="6C2C016F"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公司董事、高级管理人员因换届、改选、任期内辞职等原因离任的，按其实际任期及任期</w:t>
      </w:r>
      <w:proofErr w:type="gramStart"/>
      <w:r>
        <w:rPr>
          <w:rFonts w:ascii="仿宋_GB2312" w:eastAsia="仿宋_GB2312" w:hAnsi="仿宋_GB2312" w:cs="仿宋_GB2312" w:hint="eastAsia"/>
          <w:kern w:val="0"/>
          <w:lang w:bidi="ar"/>
        </w:rPr>
        <w:t>内考核</w:t>
      </w:r>
      <w:proofErr w:type="gramEnd"/>
      <w:r>
        <w:rPr>
          <w:rFonts w:ascii="仿宋_GB2312" w:eastAsia="仿宋_GB2312" w:hAnsi="仿宋_GB2312" w:cs="仿宋_GB2312" w:hint="eastAsia"/>
          <w:kern w:val="0"/>
          <w:lang w:bidi="ar"/>
        </w:rPr>
        <w:t>结果计算薪酬并予以发放。因个人原因离职的导致年度未满或者任期未满的，绩效年薪、任期激励原则上不予兑现，具体由公司董事会决定。</w:t>
      </w:r>
    </w:p>
    <w:p w14:paraId="6F3FF363"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如因财务造假等错报对公司财务报告进行追溯重述时，公司有权对相关人员的绩效年薪和任期激励收入予以重新考核；对于超额发放的部分，公司有权追回。公司董事、高级管理人员违反义务给上市公司造成损失，或者对财务造假、资金占用、违规担保等违法违规行为负有过错的，公司应当根据情节轻重减少、停止支付未支付的绩效年薪和任期激励收入，并对相关行为发生期间已经支付的绩效年薪和任期激励收入进行全额或部分追回。</w:t>
      </w:r>
    </w:p>
    <w:p w14:paraId="036904BF" w14:textId="77777777" w:rsidR="00F54FA6" w:rsidRDefault="00000000">
      <w:pPr>
        <w:ind w:firstLineChars="0" w:firstLine="0"/>
        <w:jc w:val="center"/>
        <w:rPr>
          <w:rFonts w:ascii="仿宋_GB2312" w:hAnsi="仿宋_GB2312" w:cs="仿宋_GB2312" w:hint="eastAsia"/>
          <w:b/>
          <w:bCs/>
        </w:rPr>
      </w:pPr>
      <w:r>
        <w:rPr>
          <w:rFonts w:ascii="仿宋_GB2312" w:hAnsi="仿宋_GB2312" w:cs="仿宋_GB2312" w:hint="eastAsia"/>
          <w:b/>
          <w:bCs/>
        </w:rPr>
        <w:lastRenderedPageBreak/>
        <w:t>第五章 附 则</w:t>
      </w:r>
    </w:p>
    <w:p w14:paraId="6EE7B687"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本制度未尽事宜或与届时相关规定不一致的，以法律法规、规范性文件的规定为准。</w:t>
      </w:r>
    </w:p>
    <w:p w14:paraId="4A523A26"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本制度由公司董事会负责解释。</w:t>
      </w:r>
    </w:p>
    <w:p w14:paraId="4F8DAD3A" w14:textId="77777777" w:rsidR="00F54FA6" w:rsidRDefault="00000000">
      <w:pPr>
        <w:pStyle w:val="2"/>
        <w:keepLines w:val="0"/>
        <w:numPr>
          <w:ilvl w:val="0"/>
          <w:numId w:val="3"/>
        </w:numPr>
        <w:tabs>
          <w:tab w:val="clear" w:pos="2400"/>
        </w:tabs>
        <w:spacing w:line="580" w:lineRule="exact"/>
        <w:ind w:left="0" w:firstLine="640"/>
        <w:jc w:val="both"/>
        <w:rPr>
          <w:rFonts w:ascii="仿宋_GB2312" w:eastAsia="仿宋_GB2312" w:hAnsi="仿宋_GB2312" w:cs="仿宋_GB2312" w:hint="eastAsia"/>
          <w:kern w:val="0"/>
          <w:lang w:bidi="ar"/>
        </w:rPr>
      </w:pPr>
      <w:r>
        <w:rPr>
          <w:rFonts w:ascii="仿宋_GB2312" w:eastAsia="仿宋_GB2312" w:hAnsi="仿宋_GB2312" w:cs="仿宋_GB2312" w:hint="eastAsia"/>
          <w:kern w:val="0"/>
          <w:lang w:bidi="ar"/>
        </w:rPr>
        <w:t>本制度自公司股东会审议通过之日起施行，此前发布的有关规定与本制度不一致的，以本制度为准。</w:t>
      </w:r>
    </w:p>
    <w:p w14:paraId="093B79B8" w14:textId="77777777" w:rsidR="00F54FA6" w:rsidRDefault="00F54FA6">
      <w:pPr>
        <w:pStyle w:val="2"/>
        <w:keepLines w:val="0"/>
        <w:numPr>
          <w:ilvl w:val="1"/>
          <w:numId w:val="0"/>
        </w:numPr>
        <w:spacing w:line="580" w:lineRule="exact"/>
        <w:jc w:val="both"/>
        <w:rPr>
          <w:rFonts w:ascii="仿宋_GB2312" w:eastAsia="仿宋_GB2312" w:hAnsi="仿宋_GB2312" w:cs="仿宋_GB2312" w:hint="eastAsia"/>
          <w:kern w:val="0"/>
          <w:lang w:bidi="ar"/>
        </w:rPr>
      </w:pPr>
    </w:p>
    <w:p w14:paraId="49B92DAF" w14:textId="77777777" w:rsidR="00F54FA6" w:rsidRDefault="00F54FA6">
      <w:pPr>
        <w:pStyle w:val="2"/>
        <w:keepLines w:val="0"/>
        <w:numPr>
          <w:ilvl w:val="1"/>
          <w:numId w:val="0"/>
        </w:numPr>
        <w:spacing w:line="580" w:lineRule="exact"/>
        <w:jc w:val="both"/>
        <w:rPr>
          <w:rFonts w:ascii="仿宋_GB2312" w:eastAsia="仿宋_GB2312" w:hAnsi="仿宋_GB2312" w:cs="仿宋_GB2312" w:hint="eastAsia"/>
        </w:rPr>
      </w:pPr>
    </w:p>
    <w:sectPr w:rsidR="00F54FA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05C9" w14:textId="77777777" w:rsidR="00F96F78" w:rsidRDefault="00F96F78">
      <w:pPr>
        <w:spacing w:line="240" w:lineRule="auto"/>
        <w:ind w:firstLine="640"/>
        <w:rPr>
          <w:rFonts w:hint="eastAsia"/>
        </w:rPr>
      </w:pPr>
      <w:r>
        <w:separator/>
      </w:r>
    </w:p>
  </w:endnote>
  <w:endnote w:type="continuationSeparator" w:id="0">
    <w:p w14:paraId="71AF150F" w14:textId="77777777" w:rsidR="00F96F78" w:rsidRDefault="00F96F78">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77229538-2A19-4BAE-A620-931A56C1E9D4}"/>
    <w:embedBold r:id="rId2" w:subsetted="1" w:fontKey="{87BBBAFD-DF6D-4F2A-8D9B-732A8B4C3556}"/>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3" w:subsetted="1" w:fontKey="{29E123DF-B404-41DB-A087-F7EF87878A81}"/>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HiddenHorzOCl">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embedRegular r:id="rId4" w:subsetted="1" w:fontKey="{B3048EF7-F03E-46B0-90CB-961675BD2D2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F4E4" w14:textId="77777777" w:rsidR="00F54FA6" w:rsidRDefault="00F54FA6">
    <w:pPr>
      <w:pStyle w:val="a6"/>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A954" w14:textId="77777777" w:rsidR="00F54FA6" w:rsidRDefault="00000000">
    <w:pPr>
      <w:pStyle w:val="a6"/>
      <w:ind w:firstLine="360"/>
      <w:rPr>
        <w:rFonts w:hint="eastAsia"/>
      </w:rPr>
    </w:pPr>
    <w:r>
      <w:rPr>
        <w:noProof/>
      </w:rPr>
      <mc:AlternateContent>
        <mc:Choice Requires="wps">
          <w:drawing>
            <wp:anchor distT="0" distB="0" distL="114300" distR="114300" simplePos="0" relativeHeight="251660288" behindDoc="0" locked="0" layoutInCell="1" allowOverlap="1" wp14:anchorId="6AFF124D" wp14:editId="566DFFC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EFB38" w14:textId="77777777" w:rsidR="00F54FA6" w:rsidRDefault="00000000">
                          <w:pPr>
                            <w:pStyle w:val="a6"/>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FF124D"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05EFB38" w14:textId="77777777" w:rsidR="00F54FA6" w:rsidRDefault="00000000">
                    <w:pPr>
                      <w:pStyle w:val="a6"/>
                      <w:ind w:firstLine="360"/>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4FAF745" wp14:editId="3AECFAD1">
              <wp:simplePos x="0" y="0"/>
              <wp:positionH relativeFrom="margin">
                <wp:align>center</wp:align>
              </wp:positionH>
              <wp:positionV relativeFrom="paragraph">
                <wp:posOffset>0</wp:posOffset>
              </wp:positionV>
              <wp:extent cx="1828800" cy="1828800"/>
              <wp:effectExtent l="0" t="0" r="0" b="0"/>
              <wp:wrapNone/>
              <wp:docPr id="1" name="Drawing 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cap="flat" cmpd="sng">
                        <a:round/>
                      </a:ln>
                    </wps:spPr>
                    <wps:style>
                      <a:lnRef idx="0">
                        <a:schemeClr val="accent1"/>
                      </a:lnRef>
                      <a:fillRef idx="0">
                        <a:schemeClr val="accent1"/>
                      </a:fillRef>
                      <a:effectRef idx="0">
                        <a:schemeClr val="accent1"/>
                      </a:effectRef>
                      <a:fontRef idx="minor">
                        <a:schemeClr val="dk1"/>
                      </a:fontRef>
                    </wps:style>
                    <wps:txbx>
                      <w:txbxContent>
                        <w:p w14:paraId="75A56F7B" w14:textId="77777777" w:rsidR="00F54FA6" w:rsidRDefault="00F54FA6">
                          <w:pPr>
                            <w:ind w:firstLine="64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54FAF745" id="Drawing 0"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8dUAIAAAAFAAAOAAAAZHJzL2Uyb0RvYy54bWysVFGP2jAMfp+0/xDlfRSYdkKIcmKcmCah&#10;3Wls2nNIE1otiaPE0LJfPyelcLrt5aa9pG5sf7Y/21ncd9awkwqxAVfyyWjMmXISqsYdSv792+bd&#10;jLOIwlXCgFMlP6vI75dv3yxaP1dTqMFUKjACcXHe+pLXiH5eFFHWyoo4Aq8cKTUEK5B+w6GogmgJ&#10;3ZpiOh7fFS2EygeQKka6feiVfJnxtVYSH7WOCpkpOeWG+Qz53KezWC7E/BCErxt5SUP8QxZWNI6C&#10;XqEeBAp2DM0fULaRASJoHEmwBWjdSJVroGom4xfV7GrhVa6FyIn+SlP8f7Dyy2nnnwLD7iN01MBE&#10;SOvjPNJlqqfTwaYvZcpITxSer7SpDplMTrPpbDYmlSTd8EM4xc3dh4ifFFiWhJIH6kumS5y2EXvT&#10;wSRFc7BpjMm9MY61Jb97/yHhC5oQbQSSaH1V8ugOGSbA0VU9jHEU+FZBlvBsVII17qvSrKlyIeki&#10;j5lam8BOggZESKkcZg4o92ydrDTl8hrHi31yVXkEX+N89ciRweHV2TYOQi73RdrVzyFl3dsPDPR1&#10;Jwqw23dU+LMG76E6U98D9CsRvdw01JutiPgkAu0A8U17jY90aAPUA7hInNUQfv3tPtnTaJKWs5Z2&#10;quSOlp4z89nRyBIgDkIYhP0guKNdA/VgQu+Fl1kkh4BmEHUA+4OWfZVikEo4SZFKTsPQi2vs95oe&#10;C6lWq2xES+YFbt3OywSde+5XR6T5ymOXuOmZuHBGa5YH9/IkpD1+/p+tbg/X8jc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BhWX8d&#10;UAIAAAAFAAAOAAAAAAAAAAAAAAAAAC4CAABkcnMvZTJvRG9jLnhtbFBLAQItABQABgAIAAAAIQBx&#10;qtG51wAAAAUBAAAPAAAAAAAAAAAAAAAAAKoEAABkcnMvZG93bnJldi54bWxQSwUGAAAAAAQABADz&#10;AAAArgUAAAAA&#10;" filled="f" stroked="f" strokeweight=".5pt">
              <v:stroke joinstyle="round"/>
              <v:textbox style="mso-fit-shape-to-text:t" inset="0,0,0,0">
                <w:txbxContent>
                  <w:p w14:paraId="75A56F7B" w14:textId="77777777" w:rsidR="00F54FA6" w:rsidRDefault="00F54FA6">
                    <w:pPr>
                      <w:ind w:firstLine="640"/>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F3DA" w14:textId="77777777" w:rsidR="00F54FA6" w:rsidRDefault="00F54FA6">
    <w:pPr>
      <w:pStyle w:val="a6"/>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611F" w14:textId="77777777" w:rsidR="00F96F78" w:rsidRDefault="00F96F78">
      <w:pPr>
        <w:spacing w:line="240" w:lineRule="auto"/>
        <w:ind w:firstLine="640"/>
        <w:rPr>
          <w:rFonts w:hint="eastAsia"/>
        </w:rPr>
      </w:pPr>
      <w:r>
        <w:separator/>
      </w:r>
    </w:p>
  </w:footnote>
  <w:footnote w:type="continuationSeparator" w:id="0">
    <w:p w14:paraId="5F71F79F" w14:textId="77777777" w:rsidR="00F96F78" w:rsidRDefault="00F96F78">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64E" w14:textId="77777777" w:rsidR="00F54FA6" w:rsidRDefault="00F54FA6">
    <w:pPr>
      <w:ind w:firstLine="64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B87F" w14:textId="77777777" w:rsidR="00F54FA6" w:rsidRPr="00835A60" w:rsidRDefault="00F54FA6" w:rsidP="00835A60">
    <w:pPr>
      <w:ind w:firstLine="64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723D" w14:textId="77777777" w:rsidR="00F54FA6" w:rsidRDefault="00F54FA6">
    <w:pPr>
      <w:ind w:firstLine="64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A8DB3F"/>
    <w:multiLevelType w:val="singleLevel"/>
    <w:tmpl w:val="95A8DB3F"/>
    <w:lvl w:ilvl="0">
      <w:start w:val="1"/>
      <w:numFmt w:val="chineseCounting"/>
      <w:suff w:val="nothing"/>
      <w:lvlText w:val="（%1）"/>
      <w:lvlJc w:val="left"/>
      <w:rPr>
        <w:rFonts w:hint="eastAsia"/>
      </w:rPr>
    </w:lvl>
  </w:abstractNum>
  <w:abstractNum w:abstractNumId="1" w15:restartNumberingAfterBreak="0">
    <w:nsid w:val="9CB4B7A4"/>
    <w:multiLevelType w:val="singleLevel"/>
    <w:tmpl w:val="9CB4B7A4"/>
    <w:lvl w:ilvl="0">
      <w:start w:val="1"/>
      <w:numFmt w:val="chineseCounting"/>
      <w:suff w:val="nothing"/>
      <w:lvlText w:val="（%1）"/>
      <w:lvlJc w:val="left"/>
      <w:rPr>
        <w:rFonts w:hint="eastAsia"/>
      </w:rPr>
    </w:lvl>
  </w:abstractNum>
  <w:abstractNum w:abstractNumId="2" w15:restartNumberingAfterBreak="0">
    <w:nsid w:val="CF092B84"/>
    <w:multiLevelType w:val="multilevel"/>
    <w:tmpl w:val="CF092B84"/>
    <w:lvl w:ilvl="0">
      <w:start w:val="1"/>
      <w:numFmt w:val="chineseCountingThousand"/>
      <w:suff w:val="space"/>
      <w:lvlText w:val="第%1章"/>
      <w:lvlJc w:val="left"/>
      <w:pPr>
        <w:ind w:left="2400" w:hanging="1140"/>
      </w:pPr>
      <w:rPr>
        <w:rFonts w:ascii="仿宋_GB2312" w:eastAsia="仿宋_GB2312" w:hAnsi="仿宋_GB2312" w:cs="仿宋_GB2312" w:hint="eastAsia"/>
        <w:b/>
        <w:bCs/>
        <w:i w:val="0"/>
        <w:sz w:val="32"/>
        <w:szCs w:val="32"/>
      </w:rPr>
    </w:lvl>
    <w:lvl w:ilvl="1">
      <w:start w:val="1"/>
      <w:numFmt w:val="chineseCountingThousand"/>
      <w:suff w:val="space"/>
      <w:lvlText w:val="第%2条"/>
      <w:lvlJc w:val="left"/>
      <w:pPr>
        <w:ind w:left="840" w:hanging="420"/>
      </w:pPr>
      <w:rPr>
        <w:rFonts w:ascii="仿宋_GB2312" w:eastAsia="仿宋_GB2312" w:hAnsi="仿宋_GB2312" w:cs="仿宋_GB2312"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3" w15:restartNumberingAfterBreak="0">
    <w:nsid w:val="0053208E"/>
    <w:multiLevelType w:val="multilevel"/>
    <w:tmpl w:val="0053208E"/>
    <w:lvl w:ilvl="0">
      <w:start w:val="1"/>
      <w:numFmt w:val="none"/>
      <w:pStyle w:val="1"/>
      <w:suff w:val="space"/>
      <w:lvlText w:val=""/>
      <w:lvlJc w:val="left"/>
      <w:pPr>
        <w:ind w:left="0" w:firstLine="0"/>
      </w:pPr>
      <w:rPr>
        <w:rFonts w:ascii="Times New Roman" w:eastAsia="仿宋" w:hAnsi="Times New Roman" w:hint="eastAsia"/>
      </w:rPr>
    </w:lvl>
    <w:lvl w:ilvl="1">
      <w:start w:val="1"/>
      <w:numFmt w:val="chineseCountingThousand"/>
      <w:pStyle w:val="2"/>
      <w:lvlText w:val="%2、"/>
      <w:lvlJc w:val="left"/>
      <w:pPr>
        <w:tabs>
          <w:tab w:val="left" w:pos="992"/>
        </w:tabs>
        <w:ind w:left="391" w:firstLine="601"/>
      </w:pPr>
      <w:rPr>
        <w:rFonts w:ascii="Times New Roman" w:hAnsi="Times New Roman" w:cs="Times New Roman" w:hint="eastAsia"/>
        <w:b w:val="0"/>
        <w:i w:val="0"/>
        <w:strike w:val="0"/>
        <w:dstrike w:val="0"/>
        <w:u w:val="none"/>
        <w:vertAlign w:val="baseline"/>
      </w:rPr>
    </w:lvl>
    <w:lvl w:ilvl="2">
      <w:start w:val="1"/>
      <w:numFmt w:val="chineseCountingThousand"/>
      <w:lvlText w:val="（%3）"/>
      <w:lvlJc w:val="left"/>
      <w:pPr>
        <w:tabs>
          <w:tab w:val="left" w:pos="4821"/>
        </w:tabs>
        <w:ind w:left="4253" w:firstLine="0"/>
      </w:pPr>
      <w:rPr>
        <w:rFonts w:ascii="Times New Roman" w:hAnsi="Times New Roman" w:cs="Times New Roman" w:hint="eastAsia"/>
        <w:b w:val="0"/>
        <w:i w:val="0"/>
        <w:strike w:val="0"/>
        <w:dstrike w:val="0"/>
        <w:u w:val="none"/>
        <w:vertAlign w:val="baseline"/>
      </w:rPr>
    </w:lvl>
    <w:lvl w:ilvl="3">
      <w:start w:val="1"/>
      <w:numFmt w:val="decimal"/>
      <w:lvlText w:val="%4."/>
      <w:lvlJc w:val="left"/>
      <w:pPr>
        <w:tabs>
          <w:tab w:val="left" w:pos="710"/>
        </w:tabs>
        <w:ind w:left="109" w:firstLine="601"/>
      </w:pPr>
      <w:rPr>
        <w:rFonts w:ascii="Times New Roman" w:eastAsia="仿宋" w:hAnsi="Times New Roman" w:hint="eastAsia"/>
        <w:color w:val="000000"/>
      </w:rPr>
    </w:lvl>
    <w:lvl w:ilvl="4">
      <w:start w:val="1"/>
      <w:numFmt w:val="decimal"/>
      <w:lvlText w:val="（%5）"/>
      <w:lvlJc w:val="left"/>
      <w:pPr>
        <w:tabs>
          <w:tab w:val="left" w:pos="757"/>
        </w:tabs>
        <w:ind w:left="0" w:firstLine="601"/>
      </w:pPr>
      <w:rPr>
        <w:rFonts w:hint="eastAsia"/>
      </w:rPr>
    </w:lvl>
    <w:lvl w:ilvl="5">
      <w:start w:val="1"/>
      <w:numFmt w:val="upperRoman"/>
      <w:lvlText w:val="%6."/>
      <w:lvlJc w:val="left"/>
      <w:pPr>
        <w:ind w:left="0" w:firstLine="601"/>
      </w:pPr>
      <w:rPr>
        <w:rFonts w:ascii="Times New Roman" w:eastAsia="宋体" w:hAnsi="Times New Roman" w:hint="eastAsia"/>
      </w:rPr>
    </w:lvl>
    <w:lvl w:ilvl="6">
      <w:start w:val="1"/>
      <w:numFmt w:val="upperRoman"/>
      <w:lvlText w:val="（%7）"/>
      <w:lvlJc w:val="left"/>
      <w:pPr>
        <w:ind w:left="0" w:firstLine="601"/>
      </w:pPr>
      <w:rPr>
        <w:rFonts w:ascii="Times New Roman" w:hAnsi="Times New Roman" w:hint="eastAsia"/>
      </w:rPr>
    </w:lvl>
    <w:lvl w:ilvl="7">
      <w:start w:val="1"/>
      <w:numFmt w:val="decimal"/>
      <w:lvlRestart w:val="0"/>
      <w:lvlText w:val="图%8"/>
      <w:lvlJc w:val="left"/>
      <w:pPr>
        <w:ind w:left="4254" w:firstLine="0"/>
      </w:pPr>
      <w:rPr>
        <w:rFonts w:hint="eastAsia"/>
      </w:rPr>
    </w:lvl>
    <w:lvl w:ilvl="8">
      <w:start w:val="1"/>
      <w:numFmt w:val="decimal"/>
      <w:lvlRestart w:val="0"/>
      <w:pStyle w:val="a"/>
      <w:suff w:val="space"/>
      <w:lvlText w:val="表%9"/>
      <w:lvlJc w:val="left"/>
      <w:pPr>
        <w:ind w:left="0" w:firstLine="0"/>
      </w:pPr>
      <w:rPr>
        <w:rFonts w:hint="eastAsia"/>
      </w:rPr>
    </w:lvl>
  </w:abstractNum>
  <w:abstractNum w:abstractNumId="4" w15:restartNumberingAfterBreak="0">
    <w:nsid w:val="0367F950"/>
    <w:multiLevelType w:val="singleLevel"/>
    <w:tmpl w:val="0367F950"/>
    <w:lvl w:ilvl="0">
      <w:start w:val="1"/>
      <w:numFmt w:val="chineseCounting"/>
      <w:suff w:val="nothing"/>
      <w:lvlText w:val="（%1）"/>
      <w:lvlJc w:val="left"/>
      <w:rPr>
        <w:rFonts w:hint="eastAsia"/>
      </w:rPr>
    </w:lvl>
  </w:abstractNum>
  <w:abstractNum w:abstractNumId="5" w15:restartNumberingAfterBreak="0">
    <w:nsid w:val="59ADCABA"/>
    <w:multiLevelType w:val="multilevel"/>
    <w:tmpl w:val="59ADCABA"/>
    <w:lvl w:ilvl="0">
      <w:start w:val="1"/>
      <w:numFmt w:val="japaneseCounting"/>
      <w:lvlText w:val="第%1条"/>
      <w:lvlJc w:val="left"/>
      <w:pPr>
        <w:tabs>
          <w:tab w:val="left" w:pos="2400"/>
        </w:tabs>
        <w:ind w:left="2400" w:hanging="1140"/>
      </w:pPr>
      <w:rPr>
        <w:rFonts w:ascii="仿宋_GB2312" w:eastAsia="仿宋_GB2312" w:hAnsi="宋体" w:cs="Times New Roman" w:hint="eastAsia"/>
        <w:b/>
        <w:i w:val="0"/>
        <w:color w:val="auto"/>
        <w:sz w:val="32"/>
        <w:szCs w:val="32"/>
      </w:rPr>
    </w:lvl>
    <w:lvl w:ilvl="1">
      <w:start w:val="15"/>
      <w:numFmt w:val="chineseCountingThousand"/>
      <w:suff w:val="space"/>
      <w:lvlText w:val="第%2条"/>
      <w:lvlJc w:val="left"/>
      <w:pPr>
        <w:tabs>
          <w:tab w:val="left" w:pos="0"/>
        </w:tabs>
        <w:ind w:left="840" w:hanging="420"/>
      </w:pPr>
      <w:rPr>
        <w:rFonts w:ascii="仿宋_GB2312" w:eastAsia="仿宋_GB2312" w:hAnsi="仿宋_GB2312" w:cs="仿宋_GB2312" w:hint="eastAsia"/>
        <w:b w:val="0"/>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num w:numId="1" w16cid:durableId="800271072">
    <w:abstractNumId w:val="3"/>
  </w:num>
  <w:num w:numId="2" w16cid:durableId="1091044413">
    <w:abstractNumId w:val="2"/>
  </w:num>
  <w:num w:numId="3" w16cid:durableId="290094763">
    <w:abstractNumId w:val="5"/>
  </w:num>
  <w:num w:numId="4" w16cid:durableId="1227691921">
    <w:abstractNumId w:val="0"/>
  </w:num>
  <w:num w:numId="5" w16cid:durableId="1963148054">
    <w:abstractNumId w:val="4"/>
  </w:num>
  <w:num w:numId="6" w16cid:durableId="2038653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0A"/>
    <w:rsid w:val="000F7FDC"/>
    <w:rsid w:val="001F453C"/>
    <w:rsid w:val="004D3242"/>
    <w:rsid w:val="00615F0A"/>
    <w:rsid w:val="00780054"/>
    <w:rsid w:val="00835A60"/>
    <w:rsid w:val="00A52E4D"/>
    <w:rsid w:val="00C75D46"/>
    <w:rsid w:val="00DA5637"/>
    <w:rsid w:val="00DD349F"/>
    <w:rsid w:val="00E35C7F"/>
    <w:rsid w:val="00F54FA6"/>
    <w:rsid w:val="00F96F78"/>
    <w:rsid w:val="00FF0CEA"/>
    <w:rsid w:val="08855808"/>
    <w:rsid w:val="0B9D116B"/>
    <w:rsid w:val="0E814250"/>
    <w:rsid w:val="106C3AAC"/>
    <w:rsid w:val="12384B3D"/>
    <w:rsid w:val="16AF1E5B"/>
    <w:rsid w:val="1FE14A49"/>
    <w:rsid w:val="228C3C32"/>
    <w:rsid w:val="271B299E"/>
    <w:rsid w:val="2B0C5D28"/>
    <w:rsid w:val="2BC270C8"/>
    <w:rsid w:val="30751371"/>
    <w:rsid w:val="37692FCD"/>
    <w:rsid w:val="3A427C9E"/>
    <w:rsid w:val="3BD21787"/>
    <w:rsid w:val="3CE91BCC"/>
    <w:rsid w:val="432B3260"/>
    <w:rsid w:val="4498267B"/>
    <w:rsid w:val="45A03E87"/>
    <w:rsid w:val="472F76FE"/>
    <w:rsid w:val="48681E22"/>
    <w:rsid w:val="496B4736"/>
    <w:rsid w:val="4C940979"/>
    <w:rsid w:val="536E4D30"/>
    <w:rsid w:val="53902A21"/>
    <w:rsid w:val="53E5617A"/>
    <w:rsid w:val="559C74F4"/>
    <w:rsid w:val="5680684B"/>
    <w:rsid w:val="5DFB4690"/>
    <w:rsid w:val="63A44BEB"/>
    <w:rsid w:val="66310536"/>
    <w:rsid w:val="74BE2F6B"/>
    <w:rsid w:val="779B2CD1"/>
    <w:rsid w:val="7C432EC0"/>
    <w:rsid w:val="7EBC2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1BA16"/>
  <w15:docId w15:val="{CE8C7CD8-40B6-47FC-BD19-178C9A07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qFormat="1"/>
    <w:lsdException w:name="header" w:uiPriority="99"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pacing w:line="600" w:lineRule="exact"/>
      <w:ind w:firstLineChars="200" w:firstLine="200"/>
      <w:jc w:val="both"/>
    </w:pPr>
    <w:rPr>
      <w:rFonts w:ascii="Calibri" w:eastAsia="仿宋_GB2312" w:hAnsiTheme="majorHAnsi" w:cs="Calibri"/>
      <w:kern w:val="2"/>
      <w:sz w:val="32"/>
      <w:szCs w:val="32"/>
    </w:rPr>
  </w:style>
  <w:style w:type="paragraph" w:styleId="1">
    <w:name w:val="heading 1"/>
    <w:next w:val="a0"/>
    <w:uiPriority w:val="9"/>
    <w:qFormat/>
    <w:pPr>
      <w:keepLines/>
      <w:widowControl w:val="0"/>
      <w:numPr>
        <w:numId w:val="1"/>
      </w:numPr>
      <w:spacing w:line="600" w:lineRule="exact"/>
      <w:jc w:val="center"/>
      <w:outlineLvl w:val="0"/>
    </w:pPr>
    <w:rPr>
      <w:rFonts w:ascii="Calibri" w:eastAsia="方正小标宋简体" w:hAnsi="Calibri" w:cs="Calibri"/>
      <w:kern w:val="44"/>
      <w:sz w:val="44"/>
      <w:szCs w:val="44"/>
    </w:rPr>
  </w:style>
  <w:style w:type="paragraph" w:styleId="2">
    <w:name w:val="heading 2"/>
    <w:next w:val="a0"/>
    <w:uiPriority w:val="9"/>
    <w:qFormat/>
    <w:pPr>
      <w:keepLines/>
      <w:widowControl w:val="0"/>
      <w:numPr>
        <w:ilvl w:val="1"/>
        <w:numId w:val="1"/>
      </w:numPr>
      <w:spacing w:line="600" w:lineRule="exact"/>
      <w:outlineLvl w:val="1"/>
    </w:pPr>
    <w:rPr>
      <w:rFonts w:ascii="Calibri" w:eastAsia="黑体" w:hAnsi="Calibri" w:cs="Calibri"/>
      <w:kern w:val="2"/>
      <w:sz w:val="32"/>
      <w:szCs w:val="32"/>
    </w:rPr>
  </w:style>
  <w:style w:type="paragraph" w:styleId="3">
    <w:name w:val="heading 3"/>
    <w:basedOn w:val="a0"/>
    <w:next w:val="a0"/>
    <w:uiPriority w:val="9"/>
    <w:qFormat/>
    <w:pPr>
      <w:tabs>
        <w:tab w:val="left" w:pos="568"/>
      </w:tabs>
      <w:ind w:firstLineChars="0" w:firstLine="0"/>
      <w:jc w:val="left"/>
      <w:outlineLvl w:val="2"/>
    </w:pPr>
    <w:rPr>
      <w:rFonts w:eastAsia="楷体_GB231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uiPriority w:val="99"/>
    <w:qFormat/>
    <w:pPr>
      <w:jc w:val="left"/>
    </w:pPr>
    <w:rPr>
      <w:rFonts w:eastAsia="仿宋"/>
      <w:kern w:val="0"/>
      <w:sz w:val="28"/>
      <w:szCs w:val="28"/>
    </w:rPr>
  </w:style>
  <w:style w:type="paragraph" w:styleId="a5">
    <w:name w:val="Body Text"/>
    <w:basedOn w:val="a0"/>
    <w:qFormat/>
    <w:pPr>
      <w:spacing w:after="120"/>
    </w:pPr>
  </w:style>
  <w:style w:type="paragraph" w:styleId="a6">
    <w:name w:val="footer"/>
    <w:basedOn w:val="a0"/>
    <w:uiPriority w:val="99"/>
    <w:qFormat/>
    <w:pPr>
      <w:tabs>
        <w:tab w:val="center" w:pos="4153"/>
        <w:tab w:val="right" w:pos="8306"/>
      </w:tabs>
      <w:snapToGrid w:val="0"/>
      <w:jc w:val="left"/>
    </w:pPr>
    <w:rPr>
      <w:rFonts w:eastAsia="宋体"/>
      <w:kern w:val="0"/>
      <w:sz w:val="18"/>
      <w:szCs w:val="18"/>
    </w:rPr>
  </w:style>
  <w:style w:type="paragraph" w:styleId="a7">
    <w:name w:val="footnote text"/>
    <w:basedOn w:val="a0"/>
    <w:qFormat/>
    <w:pPr>
      <w:snapToGrid w:val="0"/>
      <w:jc w:val="left"/>
    </w:pPr>
    <w:rPr>
      <w:sz w:val="18"/>
      <w:szCs w:val="18"/>
    </w:rPr>
  </w:style>
  <w:style w:type="paragraph" w:styleId="a8">
    <w:name w:val="Normal (Web)"/>
    <w:basedOn w:val="a0"/>
    <w:qFormat/>
    <w:rPr>
      <w:sz w:val="24"/>
      <w:szCs w:val="24"/>
    </w:rPr>
  </w:style>
  <w:style w:type="character" w:styleId="a9">
    <w:name w:val="Strong"/>
    <w:basedOn w:val="a1"/>
    <w:qFormat/>
    <w:rPr>
      <w:b/>
    </w:rPr>
  </w:style>
  <w:style w:type="character" w:styleId="aa">
    <w:name w:val="footnote reference"/>
    <w:basedOn w:val="a1"/>
    <w:qFormat/>
    <w:rPr>
      <w:vertAlign w:val="superscript"/>
    </w:rPr>
  </w:style>
  <w:style w:type="paragraph" w:customStyle="1" w:styleId="Normal1">
    <w:name w:val="Normal1"/>
    <w:qFormat/>
    <w:pPr>
      <w:widowControl w:val="0"/>
    </w:pPr>
    <w:rPr>
      <w:rFonts w:hAnsiTheme="majorHAnsi"/>
    </w:rPr>
  </w:style>
  <w:style w:type="paragraph" w:customStyle="1" w:styleId="a">
    <w:name w:val="表"/>
    <w:basedOn w:val="Normal1"/>
    <w:next w:val="Normal1"/>
    <w:qFormat/>
    <w:pPr>
      <w:keepNext/>
      <w:numPr>
        <w:ilvl w:val="8"/>
        <w:numId w:val="1"/>
      </w:numPr>
      <w:spacing w:beforeLines="50" w:before="50"/>
    </w:pPr>
  </w:style>
  <w:style w:type="paragraph" w:styleId="ab">
    <w:name w:val="No Spacing"/>
    <w:uiPriority w:val="1"/>
    <w:qFormat/>
    <w:pPr>
      <w:keepLines/>
      <w:widowControl w:val="0"/>
      <w:snapToGrid w:val="0"/>
      <w:jc w:val="center"/>
    </w:pPr>
    <w:rPr>
      <w:rFonts w:ascii="Calibri" w:eastAsia="仿宋" w:hAnsi="Calibri" w:cs="Calibri"/>
      <w:b/>
      <w:kern w:val="2"/>
      <w:sz w:val="24"/>
      <w:szCs w:val="24"/>
    </w:rPr>
  </w:style>
  <w:style w:type="paragraph" w:customStyle="1" w:styleId="10">
    <w:name w:val="列出段落1"/>
    <w:basedOn w:val="a0"/>
    <w:qFormat/>
    <w:pPr>
      <w:ind w:firstLine="420"/>
    </w:pPr>
    <w:rPr>
      <w:rFonts w:ascii="Times New Roman" w:eastAsia="宋体" w:hAnsi="Times New Roman" w:cs="Times New Roman"/>
      <w:sz w:val="21"/>
      <w:szCs w:val="21"/>
    </w:rPr>
  </w:style>
  <w:style w:type="paragraph" w:customStyle="1" w:styleId="Msolistparagraph0">
    <w:name w:val="Msolistparagraph"/>
    <w:basedOn w:val="a0"/>
    <w:qFormat/>
    <w:pPr>
      <w:ind w:firstLine="420"/>
    </w:pPr>
    <w:rPr>
      <w:rFonts w:eastAsia="宋体" w:cs="Times New Roman"/>
      <w:sz w:val="21"/>
      <w:szCs w:val="21"/>
    </w:rPr>
  </w:style>
  <w:style w:type="paragraph" w:customStyle="1" w:styleId="Default">
    <w:name w:val="Default"/>
    <w:qFormat/>
    <w:pPr>
      <w:widowControl w:val="0"/>
      <w:autoSpaceDE w:val="0"/>
      <w:autoSpaceDN w:val="0"/>
    </w:pPr>
    <w:rPr>
      <w:rFonts w:ascii="HiddenHorzOCl" w:eastAsia="HiddenHorzOCl" w:hAnsiTheme="minorHAnsi" w:cs="HiddenHorzOCl"/>
      <w:color w:val="000000"/>
      <w:sz w:val="24"/>
      <w:szCs w:val="24"/>
    </w:rPr>
  </w:style>
  <w:style w:type="paragraph" w:customStyle="1" w:styleId="11">
    <w:name w:val="修订1"/>
    <w:uiPriority w:val="99"/>
    <w:qFormat/>
    <w:rPr>
      <w:rFonts w:ascii="Calibri" w:eastAsia="仿宋_GB2312" w:hAnsi="Calibri" w:cs="Calibri"/>
      <w:kern w:val="2"/>
      <w:sz w:val="32"/>
      <w:szCs w:val="32"/>
    </w:rPr>
  </w:style>
  <w:style w:type="paragraph" w:customStyle="1" w:styleId="20">
    <w:name w:val="修订2"/>
    <w:hidden/>
    <w:uiPriority w:val="99"/>
    <w:unhideWhenUsed/>
    <w:qFormat/>
    <w:rPr>
      <w:rFonts w:ascii="Calibri" w:eastAsia="仿宋_GB2312" w:hAnsiTheme="majorHAnsi" w:cs="Calibri"/>
      <w:kern w:val="2"/>
      <w:sz w:val="32"/>
      <w:szCs w:val="32"/>
    </w:rPr>
  </w:style>
  <w:style w:type="paragraph" w:customStyle="1" w:styleId="30">
    <w:name w:val="修订3"/>
    <w:hidden/>
    <w:uiPriority w:val="99"/>
    <w:unhideWhenUsed/>
    <w:qFormat/>
    <w:rPr>
      <w:rFonts w:ascii="Calibri" w:eastAsia="仿宋_GB2312" w:hAnsiTheme="majorHAnsi" w:cs="Calibri"/>
      <w:kern w:val="2"/>
      <w:sz w:val="32"/>
      <w:szCs w:val="32"/>
    </w:rPr>
  </w:style>
  <w:style w:type="paragraph" w:styleId="ac">
    <w:name w:val="Revision"/>
    <w:hidden/>
    <w:uiPriority w:val="99"/>
    <w:unhideWhenUsed/>
    <w:rsid w:val="00835A60"/>
    <w:rPr>
      <w:rFonts w:ascii="Calibri" w:eastAsia="仿宋_GB2312" w:hAnsiTheme="majorHAnsi" w:cs="Calibr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59E0E0-D283-4FD5-AE21-74CB861F4279}">
  <ds:schemaRefs>
    <ds:schemaRef ds:uri="http://schemas.wps.cn/vas-ai-hub/contract-review"/>
  </ds:schemaRefs>
</ds:datastoreItem>
</file>

<file path=customXml/itemProps3.xml><?xml version="1.0" encoding="utf-8"?>
<ds:datastoreItem xmlns:ds="http://schemas.openxmlformats.org/officeDocument/2006/customXml" ds:itemID="{EA0BE3E8-32F2-4E22-BE99-7A43ECAF3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Shimo</dc:creator>
  <cp:lastModifiedBy>李吉</cp:lastModifiedBy>
  <cp:revision>5</cp:revision>
  <dcterms:created xsi:type="dcterms:W3CDTF">2025-09-16T02:44:00Z</dcterms:created>
  <dcterms:modified xsi:type="dcterms:W3CDTF">2026-04-27T07:08:00Z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BC9AAFAFBE34401CAD81B5A571307531_13</vt:lpwstr>
  </property>
  <property fmtid="{D5CDD505-2E9C-101B-9397-08002B2CF9AE}" pid="4" name="KSOTemplateDocerSaveRecord">
    <vt:lpwstr>eyJoZGlkIjoiMGY0MGQ3ODk5N2QxYjdkNjY3MTlkZTAxNjc0MDE3N2QiLCJ1c2VySWQiOiIxNjg3NzkyMzEyIn0=</vt:lpwstr>
  </property>
</Properties>
</file>