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4803" w14:textId="77777777" w:rsidR="000F7BA6" w:rsidRDefault="00000000">
      <w:pPr>
        <w:jc w:val="center"/>
        <w:rPr>
          <w:rFonts w:ascii="华文中宋" w:eastAsia="华文中宋" w:hAnsi="华文中宋" w:cs="宋体" w:hint="eastAsia"/>
          <w:sz w:val="36"/>
          <w:szCs w:val="36"/>
        </w:rPr>
      </w:pPr>
      <w:r>
        <w:rPr>
          <w:rFonts w:ascii="华文中宋" w:eastAsia="华文中宋" w:hAnsi="华文中宋" w:cs="宋体" w:hint="eastAsia"/>
          <w:sz w:val="36"/>
          <w:szCs w:val="36"/>
        </w:rPr>
        <w:t>保利联合化工控股集团股份有限公司</w:t>
      </w:r>
    </w:p>
    <w:p w14:paraId="5508924D" w14:textId="2FC209DC" w:rsidR="000F7BA6" w:rsidRDefault="00000000">
      <w:pPr>
        <w:jc w:val="center"/>
        <w:rPr>
          <w:rFonts w:ascii="华文中宋" w:eastAsia="华文中宋" w:hAnsi="华文中宋" w:cs="宋体" w:hint="eastAsia"/>
          <w:sz w:val="36"/>
          <w:szCs w:val="36"/>
        </w:rPr>
      </w:pPr>
      <w:r>
        <w:rPr>
          <w:rFonts w:ascii="华文中宋" w:eastAsia="华文中宋" w:hAnsi="华文中宋" w:cs="宋体" w:hint="eastAsia"/>
          <w:sz w:val="36"/>
          <w:szCs w:val="36"/>
        </w:rPr>
        <w:t>2025年度</w:t>
      </w:r>
      <w:bookmarkStart w:id="0" w:name="OLE_LINK1"/>
      <w:r>
        <w:rPr>
          <w:rFonts w:ascii="华文中宋" w:eastAsia="华文中宋" w:hAnsi="华文中宋" w:cs="宋体" w:hint="eastAsia"/>
          <w:sz w:val="36"/>
          <w:szCs w:val="36"/>
        </w:rPr>
        <w:t>内部控制</w:t>
      </w:r>
      <w:r w:rsidR="00DE2056">
        <w:rPr>
          <w:rFonts w:ascii="华文中宋" w:eastAsia="华文中宋" w:hAnsi="华文中宋" w:cs="宋体" w:hint="eastAsia"/>
          <w:sz w:val="36"/>
          <w:szCs w:val="36"/>
        </w:rPr>
        <w:t>自我</w:t>
      </w:r>
      <w:r>
        <w:rPr>
          <w:rFonts w:ascii="华文中宋" w:eastAsia="华文中宋" w:hAnsi="华文中宋" w:cs="宋体" w:hint="eastAsia"/>
          <w:sz w:val="36"/>
          <w:szCs w:val="36"/>
        </w:rPr>
        <w:t>评价报告</w:t>
      </w:r>
      <w:bookmarkEnd w:id="0"/>
    </w:p>
    <w:p w14:paraId="44E16D83" w14:textId="77777777" w:rsidR="000F7BA6" w:rsidRDefault="000F7BA6">
      <w:pPr>
        <w:jc w:val="center"/>
        <w:rPr>
          <w:rFonts w:ascii="宋体" w:hAnsi="宋体" w:cs="宋体" w:hint="eastAsia"/>
          <w:b/>
          <w:bCs/>
          <w:sz w:val="44"/>
          <w:szCs w:val="44"/>
        </w:rPr>
      </w:pPr>
    </w:p>
    <w:p w14:paraId="173316C1" w14:textId="77777777" w:rsidR="000F7BA6" w:rsidRDefault="00000000">
      <w:pPr>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保利联合化工控股集团股份有限公司全体股东：</w:t>
      </w:r>
    </w:p>
    <w:p w14:paraId="1DFCADA0"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根据《企业内部控制基本规范》及其配套指引的规定和其他内部控制监管要求（以下简称企业内部控制规范体系），结合保利联合化工控股集团股份有限公司（以下简称公司）内部控制体系，在内部控制日常监督和专项监督的基础上，我们对公司2025年12月31日（内部控制评价报告基准日）的内部控制有效性进行了评价。</w:t>
      </w:r>
    </w:p>
    <w:p w14:paraId="019D9FDB"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一、重要声明</w:t>
      </w:r>
    </w:p>
    <w:p w14:paraId="170A480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按照企业内部控制规范体系的规定，建立健全和有效实施内部控制，评价其有效性，并如实披露内部控制评价报告</w:t>
      </w:r>
      <w:r>
        <w:rPr>
          <w:rFonts w:ascii="仿宋_GB2312" w:eastAsia="仿宋_GB2312" w:hAnsi="仿宋" w:cs="仿宋" w:hint="eastAsia"/>
          <w:sz w:val="32"/>
          <w:szCs w:val="32"/>
        </w:rPr>
        <w:t>是公司董事会的责任。风控与审计委员会对公司建立和实施内部控制进行监督。经理层负责组织</w:t>
      </w:r>
      <w:r>
        <w:rPr>
          <w:rFonts w:ascii="仿宋_GB2312" w:eastAsia="仿宋_GB2312" w:hAnsi="CESI仿宋-GB2312" w:cs="CESI仿宋-GB2312" w:hint="eastAsia"/>
          <w:sz w:val="32"/>
          <w:szCs w:val="32"/>
        </w:rPr>
        <w:t>领导企业内部控制的日常运行。公司董事会及董事、高级管理人员保证本报告内容不存在任何虚假记载、误导性陈述或重大遗漏，并对报告内容的真实性、准确性和完整性承担个别及连带法律责任。</w:t>
      </w:r>
    </w:p>
    <w:p w14:paraId="007A52F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w:t>
      </w:r>
      <w:r>
        <w:rPr>
          <w:rFonts w:ascii="仿宋_GB2312" w:eastAsia="仿宋_GB2312" w:hAnsi="CESI仿宋-GB2312" w:cs="CESI仿宋-GB2312" w:hint="eastAsia"/>
          <w:sz w:val="32"/>
          <w:szCs w:val="32"/>
        </w:rPr>
        <w:lastRenderedPageBreak/>
        <w:t>化可能导致内部控制变得不恰当，或对控制政策和程序遵循的程度降低，根据内部控制评价结果推测未来内部控制的有</w:t>
      </w:r>
    </w:p>
    <w:p w14:paraId="6FCCCC70" w14:textId="77777777" w:rsidR="000F7BA6" w:rsidRDefault="00000000">
      <w:pPr>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效性具有一定的风险。</w:t>
      </w:r>
    </w:p>
    <w:p w14:paraId="1ECBE7EE"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二、内部控制评价结论</w:t>
      </w:r>
    </w:p>
    <w:p w14:paraId="0F8D46D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1.公司于内部控制评价报告基准日，是否存在财务报告内部控制重大缺陷</w:t>
      </w:r>
    </w:p>
    <w:p w14:paraId="39E3747B"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65F86C5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2.财务报告内部控制评价结论</w:t>
      </w:r>
    </w:p>
    <w:p w14:paraId="0662629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√有效 □无效</w:t>
      </w:r>
    </w:p>
    <w:p w14:paraId="076DDC4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14:paraId="1CA969D0"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3.是否发现非财务报告内部控制重大缺陷</w:t>
      </w:r>
    </w:p>
    <w:p w14:paraId="2A4D235C"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6C524F3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根据公司非财务报告内部控制重大缺陷认定情况，于内部控制评价报告基准日，公司未发现非财务报告内部控制重大缺陷。</w:t>
      </w:r>
    </w:p>
    <w:p w14:paraId="2CB70106"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4.自内部控制评价报告基准日至内部控制评价报告发出日之间影响内部控制有效性评价结论的因素。</w:t>
      </w:r>
    </w:p>
    <w:p w14:paraId="03AF14A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□适用  √不适用</w:t>
      </w:r>
    </w:p>
    <w:p w14:paraId="6EB728F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自内部控制评价报告基准日至内部控制评价报告发出</w:t>
      </w:r>
      <w:r>
        <w:rPr>
          <w:rFonts w:ascii="仿宋_GB2312" w:eastAsia="仿宋_GB2312" w:hAnsi="CESI仿宋-GB2312" w:cs="CESI仿宋-GB2312" w:hint="eastAsia"/>
          <w:sz w:val="32"/>
          <w:szCs w:val="32"/>
        </w:rPr>
        <w:lastRenderedPageBreak/>
        <w:t>日之间未发生影响内部控制有效性评价结论的因素。</w:t>
      </w:r>
    </w:p>
    <w:p w14:paraId="03ABB30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5.内部控制审计意见是否与公司对财务报告内部控制有效性的评价结论一致。</w:t>
      </w:r>
    </w:p>
    <w:p w14:paraId="6D009E0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4BBCA95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6.内部控制审计报告对非财务报告内部控制重大缺陷的披露是否与公司内部控制评价报告披露一致。</w:t>
      </w:r>
    </w:p>
    <w:p w14:paraId="1FB8A30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09522CA4"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三、内部控制评价工作情况</w:t>
      </w:r>
    </w:p>
    <w:p w14:paraId="308749CC"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（一）内部控制评价范围</w:t>
      </w:r>
    </w:p>
    <w:p w14:paraId="5126F61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公司按照风险导向原则确定纳入评价范围的主要单位、业务和事项以及高风险领域。</w:t>
      </w:r>
    </w:p>
    <w:p w14:paraId="5EBCC306"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1.纳入评价范围的主要单位包括：公司各职能部门、公司及所属的控股子公司。</w:t>
      </w:r>
    </w:p>
    <w:p w14:paraId="0A92AD20"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2.纳入评价范围的单位占比：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F7BA6" w14:paraId="13158284" w14:textId="77777777">
        <w:trPr>
          <w:jc w:val="center"/>
        </w:trPr>
        <w:tc>
          <w:tcPr>
            <w:tcW w:w="4261" w:type="dxa"/>
          </w:tcPr>
          <w:p w14:paraId="38086657"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指标</w:t>
            </w:r>
          </w:p>
        </w:tc>
        <w:tc>
          <w:tcPr>
            <w:tcW w:w="4261" w:type="dxa"/>
          </w:tcPr>
          <w:p w14:paraId="354AD68C"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占比（%）</w:t>
            </w:r>
          </w:p>
        </w:tc>
      </w:tr>
      <w:tr w:rsidR="000F7BA6" w14:paraId="155A454D" w14:textId="77777777">
        <w:trPr>
          <w:jc w:val="center"/>
        </w:trPr>
        <w:tc>
          <w:tcPr>
            <w:tcW w:w="4261" w:type="dxa"/>
          </w:tcPr>
          <w:p w14:paraId="3B3CCAA2"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纳入评价范围单位资产总额占公司合并财务报表资产总额之比</w:t>
            </w:r>
          </w:p>
        </w:tc>
        <w:tc>
          <w:tcPr>
            <w:tcW w:w="4261" w:type="dxa"/>
            <w:vAlign w:val="center"/>
          </w:tcPr>
          <w:p w14:paraId="26368A09"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100</w:t>
            </w:r>
          </w:p>
        </w:tc>
      </w:tr>
      <w:tr w:rsidR="000F7BA6" w14:paraId="119CAA5E" w14:textId="77777777">
        <w:trPr>
          <w:jc w:val="center"/>
        </w:trPr>
        <w:tc>
          <w:tcPr>
            <w:tcW w:w="4261" w:type="dxa"/>
          </w:tcPr>
          <w:p w14:paraId="43216022"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营业收入合计占公司合并财务报表营业收入总额之比</w:t>
            </w:r>
          </w:p>
        </w:tc>
        <w:tc>
          <w:tcPr>
            <w:tcW w:w="4261" w:type="dxa"/>
            <w:vAlign w:val="center"/>
          </w:tcPr>
          <w:p w14:paraId="7271C4ED"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100</w:t>
            </w:r>
          </w:p>
        </w:tc>
      </w:tr>
    </w:tbl>
    <w:p w14:paraId="42408BC6"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3.纳入评价范围的主要业务和事项包括:</w:t>
      </w:r>
    </w:p>
    <w:p w14:paraId="413F0A8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内部环境、风险评估、控制活动、信息与沟通、内部监督等。</w:t>
      </w:r>
    </w:p>
    <w:p w14:paraId="2A84214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4.重点关注的高风险领域主要包括：</w:t>
      </w:r>
    </w:p>
    <w:p w14:paraId="29FD962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投资管理、经营管理、财务管理、资产管理、采购管理、</w:t>
      </w:r>
      <w:r>
        <w:rPr>
          <w:rFonts w:ascii="仿宋_GB2312" w:eastAsia="仿宋_GB2312" w:hAnsi="CESI仿宋-GB2312" w:cs="CESI仿宋-GB2312" w:hint="eastAsia"/>
          <w:sz w:val="32"/>
          <w:szCs w:val="32"/>
        </w:rPr>
        <w:lastRenderedPageBreak/>
        <w:t>生产管理、合同管理、安全环保管理、信息系统管理等方面。</w:t>
      </w:r>
    </w:p>
    <w:p w14:paraId="00755B1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5.上述纳入评价范围的单位、业务和事项以及高风险领域涵盖了公司经营管理的主要方面，是否存在重大遗漏。</w:t>
      </w:r>
    </w:p>
    <w:p w14:paraId="31333DF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15DC2B2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6.是否存在法定豁免。</w:t>
      </w:r>
    </w:p>
    <w:p w14:paraId="3A7166E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2B849BCC"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7.其他说明事项</w:t>
      </w:r>
    </w:p>
    <w:p w14:paraId="1959990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公司无内部控制评价范围的其他说明事项。</w:t>
      </w:r>
    </w:p>
    <w:p w14:paraId="1D4FA889"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（二）内部控制评价工作依据及内部控制缺陷认定标准</w:t>
      </w:r>
    </w:p>
    <w:p w14:paraId="14015C3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公司依据企业内部控制规范体系及其他内部控制监管要求，结合公司《内部控制管理手册》和《内部控制自我评价手册》，在内部控制日常监督和专项监督的基础上，组织开展内部控制评价工作。</w:t>
      </w:r>
    </w:p>
    <w:p w14:paraId="133ACE7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1.内部控制缺陷具体认定标准是否与以前年度存在调整</w:t>
      </w:r>
    </w:p>
    <w:p w14:paraId="521099E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sym w:font="Wingdings 2" w:char="00A3"/>
      </w:r>
      <w:r>
        <w:rPr>
          <w:rFonts w:ascii="仿宋_GB2312" w:eastAsia="仿宋_GB2312" w:hAnsi="CESI仿宋-GB2312" w:cs="CESI仿宋-GB2312" w:hint="eastAsia"/>
          <w:sz w:val="32"/>
          <w:szCs w:val="32"/>
        </w:rPr>
        <w:t>是  √否</w:t>
      </w:r>
    </w:p>
    <w:p w14:paraId="61EE175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p w14:paraId="0602B40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2.财务报告内部控制缺陷认定标准</w:t>
      </w:r>
    </w:p>
    <w:p w14:paraId="30C0822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lastRenderedPageBreak/>
        <w:t>公司确定的财务报告内部控制缺陷评价的定量标准如下：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825"/>
        <w:gridCol w:w="2436"/>
        <w:gridCol w:w="2714"/>
      </w:tblGrid>
      <w:tr w:rsidR="000F7BA6" w14:paraId="382F73B9" w14:textId="77777777">
        <w:trPr>
          <w:jc w:val="center"/>
        </w:trPr>
        <w:tc>
          <w:tcPr>
            <w:tcW w:w="1130" w:type="dxa"/>
            <w:vAlign w:val="center"/>
          </w:tcPr>
          <w:p w14:paraId="644EBCD5"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指标名称</w:t>
            </w:r>
          </w:p>
        </w:tc>
        <w:tc>
          <w:tcPr>
            <w:tcW w:w="2825" w:type="dxa"/>
            <w:vAlign w:val="center"/>
          </w:tcPr>
          <w:p w14:paraId="3BAF11F8"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重大缺陷定量标准</w:t>
            </w:r>
          </w:p>
        </w:tc>
        <w:tc>
          <w:tcPr>
            <w:tcW w:w="2436" w:type="dxa"/>
            <w:vAlign w:val="center"/>
          </w:tcPr>
          <w:p w14:paraId="465121B9"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重要缺陷定量标准</w:t>
            </w:r>
          </w:p>
        </w:tc>
        <w:tc>
          <w:tcPr>
            <w:tcW w:w="2714" w:type="dxa"/>
            <w:vAlign w:val="center"/>
          </w:tcPr>
          <w:p w14:paraId="31878CC0"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一般缺陷定量标准</w:t>
            </w:r>
          </w:p>
        </w:tc>
      </w:tr>
      <w:tr w:rsidR="000F7BA6" w14:paraId="391763AA" w14:textId="77777777">
        <w:trPr>
          <w:trHeight w:val="814"/>
          <w:jc w:val="center"/>
        </w:trPr>
        <w:tc>
          <w:tcPr>
            <w:tcW w:w="1130" w:type="dxa"/>
            <w:vAlign w:val="center"/>
          </w:tcPr>
          <w:p w14:paraId="0F774F1C"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资产总额</w:t>
            </w:r>
          </w:p>
        </w:tc>
        <w:tc>
          <w:tcPr>
            <w:tcW w:w="2825" w:type="dxa"/>
            <w:vAlign w:val="center"/>
          </w:tcPr>
          <w:p w14:paraId="6F22A2E9"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错报≥资产总额的3%</w:t>
            </w:r>
          </w:p>
        </w:tc>
        <w:tc>
          <w:tcPr>
            <w:tcW w:w="2436" w:type="dxa"/>
            <w:vAlign w:val="center"/>
          </w:tcPr>
          <w:p w14:paraId="1ED0B843"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资产总额的0.5%≤错报</w:t>
            </w:r>
          </w:p>
          <w:p w14:paraId="4839A04E"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＜资产总额的3%</w:t>
            </w:r>
          </w:p>
        </w:tc>
        <w:tc>
          <w:tcPr>
            <w:tcW w:w="2714" w:type="dxa"/>
            <w:vAlign w:val="center"/>
          </w:tcPr>
          <w:p w14:paraId="65C7B27D"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错报＜资产总额的0.5%</w:t>
            </w:r>
          </w:p>
        </w:tc>
      </w:tr>
      <w:tr w:rsidR="000F7BA6" w14:paraId="281D6802" w14:textId="77777777">
        <w:trPr>
          <w:jc w:val="center"/>
        </w:trPr>
        <w:tc>
          <w:tcPr>
            <w:tcW w:w="1130" w:type="dxa"/>
            <w:vAlign w:val="center"/>
          </w:tcPr>
          <w:p w14:paraId="51574D12"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营业收入总额</w:t>
            </w:r>
          </w:p>
        </w:tc>
        <w:tc>
          <w:tcPr>
            <w:tcW w:w="2825" w:type="dxa"/>
            <w:vAlign w:val="center"/>
          </w:tcPr>
          <w:p w14:paraId="1D347CFD"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错报≥营业收入总额的</w:t>
            </w:r>
          </w:p>
          <w:p w14:paraId="01ABBA66"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w:t>
            </w:r>
          </w:p>
        </w:tc>
        <w:tc>
          <w:tcPr>
            <w:tcW w:w="2436" w:type="dxa"/>
            <w:vAlign w:val="center"/>
          </w:tcPr>
          <w:p w14:paraId="341A8F48"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营业收入总额的0.5%≤</w:t>
            </w:r>
          </w:p>
          <w:p w14:paraId="79F787C9"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错报＜营业收入总额的</w:t>
            </w:r>
          </w:p>
          <w:p w14:paraId="28211791"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w:t>
            </w:r>
          </w:p>
        </w:tc>
        <w:tc>
          <w:tcPr>
            <w:tcW w:w="2714" w:type="dxa"/>
            <w:vAlign w:val="center"/>
          </w:tcPr>
          <w:p w14:paraId="1891DEBC"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错报＜营业收入总额的</w:t>
            </w:r>
          </w:p>
          <w:p w14:paraId="2F1A8998"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0.5%</w:t>
            </w:r>
          </w:p>
        </w:tc>
      </w:tr>
      <w:tr w:rsidR="000F7BA6" w14:paraId="1F1B4076" w14:textId="77777777">
        <w:trPr>
          <w:jc w:val="center"/>
        </w:trPr>
        <w:tc>
          <w:tcPr>
            <w:tcW w:w="1130" w:type="dxa"/>
            <w:vAlign w:val="center"/>
          </w:tcPr>
          <w:p w14:paraId="0B2BDBC3"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利润总额</w:t>
            </w:r>
          </w:p>
        </w:tc>
        <w:tc>
          <w:tcPr>
            <w:tcW w:w="2825" w:type="dxa"/>
            <w:vAlign w:val="center"/>
          </w:tcPr>
          <w:p w14:paraId="2C9A82CF"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错报≥利润总额的5%</w:t>
            </w:r>
          </w:p>
        </w:tc>
        <w:tc>
          <w:tcPr>
            <w:tcW w:w="2436" w:type="dxa"/>
            <w:vAlign w:val="center"/>
          </w:tcPr>
          <w:p w14:paraId="3E99172A"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利润总额的3%≤错报&lt;利润总额的5%</w:t>
            </w:r>
          </w:p>
        </w:tc>
        <w:tc>
          <w:tcPr>
            <w:tcW w:w="2714" w:type="dxa"/>
            <w:vAlign w:val="center"/>
          </w:tcPr>
          <w:p w14:paraId="121A898A"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错报＜利润总额的3%</w:t>
            </w:r>
          </w:p>
        </w:tc>
      </w:tr>
      <w:tr w:rsidR="000F7BA6" w14:paraId="623E41EE" w14:textId="77777777">
        <w:trPr>
          <w:jc w:val="center"/>
        </w:trPr>
        <w:tc>
          <w:tcPr>
            <w:tcW w:w="1130" w:type="dxa"/>
            <w:vAlign w:val="center"/>
          </w:tcPr>
          <w:p w14:paraId="7384B3B9"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所有者权益总额</w:t>
            </w:r>
          </w:p>
        </w:tc>
        <w:tc>
          <w:tcPr>
            <w:tcW w:w="2825" w:type="dxa"/>
            <w:vAlign w:val="center"/>
          </w:tcPr>
          <w:p w14:paraId="44EFBDA3"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错报≥所有者权益总额的1%</w:t>
            </w:r>
          </w:p>
        </w:tc>
        <w:tc>
          <w:tcPr>
            <w:tcW w:w="2436" w:type="dxa"/>
            <w:vAlign w:val="center"/>
          </w:tcPr>
          <w:p w14:paraId="3C4AF2C0"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所有者权益总额的0.5%≤错报&lt;所有者权益总额的1%</w:t>
            </w:r>
          </w:p>
        </w:tc>
        <w:tc>
          <w:tcPr>
            <w:tcW w:w="2714" w:type="dxa"/>
            <w:vAlign w:val="center"/>
          </w:tcPr>
          <w:p w14:paraId="224F961B"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错报＜所有者权益总额的0.5%</w:t>
            </w:r>
          </w:p>
        </w:tc>
      </w:tr>
    </w:tbl>
    <w:p w14:paraId="0974232D"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说明:公司无其他财务报告内部控制缺陷评价的定量标准说明。</w:t>
      </w:r>
    </w:p>
    <w:p w14:paraId="47763569"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公司确定的财务报告内部控制缺陷评价的定性标准如下：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466"/>
      </w:tblGrid>
      <w:tr w:rsidR="000F7BA6" w14:paraId="3F5E81C9" w14:textId="77777777">
        <w:trPr>
          <w:cantSplit/>
          <w:jc w:val="center"/>
        </w:trPr>
        <w:tc>
          <w:tcPr>
            <w:tcW w:w="1056" w:type="dxa"/>
            <w:vAlign w:val="center"/>
          </w:tcPr>
          <w:p w14:paraId="1CEBE29A"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缺陷性质</w:t>
            </w:r>
          </w:p>
        </w:tc>
        <w:tc>
          <w:tcPr>
            <w:tcW w:w="7466" w:type="dxa"/>
            <w:vAlign w:val="center"/>
          </w:tcPr>
          <w:p w14:paraId="2060DF2D" w14:textId="77777777" w:rsidR="000F7BA6" w:rsidRDefault="00000000">
            <w:pPr>
              <w:jc w:val="cente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定性标准</w:t>
            </w:r>
          </w:p>
        </w:tc>
      </w:tr>
      <w:tr w:rsidR="000F7BA6" w14:paraId="46C58ECD" w14:textId="77777777">
        <w:trPr>
          <w:cantSplit/>
          <w:jc w:val="center"/>
        </w:trPr>
        <w:tc>
          <w:tcPr>
            <w:tcW w:w="1056" w:type="dxa"/>
            <w:vAlign w:val="center"/>
          </w:tcPr>
          <w:p w14:paraId="27A5DDF4"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重大缺陷</w:t>
            </w:r>
          </w:p>
        </w:tc>
        <w:tc>
          <w:tcPr>
            <w:tcW w:w="7466" w:type="dxa"/>
            <w:vAlign w:val="center"/>
          </w:tcPr>
          <w:p w14:paraId="21409CA1"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个或多个控制缺陷的组合，可能导致企业严重偏离控制目标。存在重大缺陷的迹象包括：公司管理层存在的任何程度的舞弊；已经发现并报告给管理层的重大内部控制缺陷在经过合理的期限内，并未得到改正；外部审计师发现当期财务报告存在重大错报，而内部控制在运行过程中未能发现该错报；公司审计委员会和审计部对内部控制的监督无效；影响关联交易总额超过股东批准的关联交易额度的缺陷；控制环境无效；违反国家法律法规并受到处罚；影响收益趋势的缺陷；公司更正已发布的财务报告；其他可能影响报表使用者正确判断的缺陷。</w:t>
            </w:r>
          </w:p>
        </w:tc>
      </w:tr>
      <w:tr w:rsidR="000F7BA6" w14:paraId="1D9CBB93" w14:textId="77777777">
        <w:trPr>
          <w:cantSplit/>
          <w:jc w:val="center"/>
        </w:trPr>
        <w:tc>
          <w:tcPr>
            <w:tcW w:w="1056" w:type="dxa"/>
            <w:vAlign w:val="center"/>
          </w:tcPr>
          <w:p w14:paraId="24041ECC"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重要缺陷</w:t>
            </w:r>
          </w:p>
        </w:tc>
        <w:tc>
          <w:tcPr>
            <w:tcW w:w="7466" w:type="dxa"/>
            <w:vAlign w:val="center"/>
          </w:tcPr>
          <w:p w14:paraId="4D1E4729"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个或多个控制缺陷的组合，其严重程度和经济后果低于重大缺陷，但是仍有可能导致企业偏离控制目标。存在重要缺陷的迹象包括：发现并报告给管理层的重大内部控制缺陷在经过合理的时间后，整改不全面，不彻底；内部控制环境不完善；会计计量不及时、不准确，造成信息滞后或信息错误；财务制度存在严重缺陷；会计科目确认依据不符合会计准则要求。</w:t>
            </w:r>
          </w:p>
        </w:tc>
      </w:tr>
      <w:tr w:rsidR="000F7BA6" w14:paraId="0E74D5F4" w14:textId="77777777">
        <w:trPr>
          <w:cantSplit/>
          <w:jc w:val="center"/>
        </w:trPr>
        <w:tc>
          <w:tcPr>
            <w:tcW w:w="1056" w:type="dxa"/>
            <w:vAlign w:val="center"/>
          </w:tcPr>
          <w:p w14:paraId="20D4BB6A"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一般缺陷</w:t>
            </w:r>
          </w:p>
        </w:tc>
        <w:tc>
          <w:tcPr>
            <w:tcW w:w="7466" w:type="dxa"/>
            <w:vAlign w:val="center"/>
          </w:tcPr>
          <w:p w14:paraId="1C269026"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除重大缺陷、重要缺陷之外的其他缺陷。</w:t>
            </w:r>
          </w:p>
        </w:tc>
      </w:tr>
    </w:tbl>
    <w:p w14:paraId="3340A471"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说明：公司无其他财务报告内部控制缺陷评价的定性标准说明。</w:t>
      </w:r>
    </w:p>
    <w:p w14:paraId="51F162BC"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3.非财务报告内部控制缺陷认定标准</w:t>
      </w:r>
    </w:p>
    <w:p w14:paraId="34659E6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公司确定的非财务报告内部控制缺陷评价的定量标准如下：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2894"/>
        <w:gridCol w:w="2483"/>
        <w:gridCol w:w="2537"/>
      </w:tblGrid>
      <w:tr w:rsidR="000F7BA6" w14:paraId="3AA4E68F" w14:textId="77777777">
        <w:trPr>
          <w:jc w:val="center"/>
        </w:trPr>
        <w:tc>
          <w:tcPr>
            <w:tcW w:w="1366" w:type="dxa"/>
            <w:vAlign w:val="center"/>
          </w:tcPr>
          <w:p w14:paraId="397B135D"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指标名称</w:t>
            </w:r>
          </w:p>
        </w:tc>
        <w:tc>
          <w:tcPr>
            <w:tcW w:w="2894" w:type="dxa"/>
            <w:vAlign w:val="center"/>
          </w:tcPr>
          <w:p w14:paraId="41A29BDF"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重大缺陷定量标准</w:t>
            </w:r>
          </w:p>
        </w:tc>
        <w:tc>
          <w:tcPr>
            <w:tcW w:w="2483" w:type="dxa"/>
            <w:vAlign w:val="center"/>
          </w:tcPr>
          <w:p w14:paraId="16427F9F"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重要缺陷定量标准</w:t>
            </w:r>
          </w:p>
        </w:tc>
        <w:tc>
          <w:tcPr>
            <w:tcW w:w="2537" w:type="dxa"/>
            <w:vAlign w:val="center"/>
          </w:tcPr>
          <w:p w14:paraId="1026C6CA"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一般缺陷定量标准</w:t>
            </w:r>
          </w:p>
        </w:tc>
      </w:tr>
      <w:tr w:rsidR="000F7BA6" w14:paraId="657E330C" w14:textId="77777777">
        <w:trPr>
          <w:trHeight w:val="1060"/>
          <w:jc w:val="center"/>
        </w:trPr>
        <w:tc>
          <w:tcPr>
            <w:tcW w:w="1366" w:type="dxa"/>
            <w:vAlign w:val="center"/>
          </w:tcPr>
          <w:p w14:paraId="632DD81C"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lastRenderedPageBreak/>
              <w:t>直接财产损失</w:t>
            </w:r>
          </w:p>
        </w:tc>
        <w:tc>
          <w:tcPr>
            <w:tcW w:w="2894" w:type="dxa"/>
            <w:vAlign w:val="center"/>
          </w:tcPr>
          <w:p w14:paraId="70C8940B"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直接财产损失金额≥500万元</w:t>
            </w:r>
          </w:p>
        </w:tc>
        <w:tc>
          <w:tcPr>
            <w:tcW w:w="2483" w:type="dxa"/>
            <w:vAlign w:val="center"/>
          </w:tcPr>
          <w:p w14:paraId="59E45D16" w14:textId="77777777" w:rsidR="000F7BA6" w:rsidRDefault="00000000">
            <w:pPr>
              <w:spacing w:line="560" w:lineRule="exact"/>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100万元≤直接财产损失＜500万元</w:t>
            </w:r>
          </w:p>
        </w:tc>
        <w:tc>
          <w:tcPr>
            <w:tcW w:w="2537" w:type="dxa"/>
            <w:vAlign w:val="center"/>
          </w:tcPr>
          <w:p w14:paraId="28D3EED5"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直接财产损失＜100万元</w:t>
            </w:r>
          </w:p>
        </w:tc>
      </w:tr>
      <w:tr w:rsidR="000F7BA6" w14:paraId="2B3B6B33" w14:textId="77777777">
        <w:trPr>
          <w:trHeight w:val="1695"/>
          <w:jc w:val="center"/>
        </w:trPr>
        <w:tc>
          <w:tcPr>
            <w:tcW w:w="1366" w:type="dxa"/>
            <w:vAlign w:val="center"/>
          </w:tcPr>
          <w:p w14:paraId="3579531D"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发生安全事故</w:t>
            </w:r>
          </w:p>
        </w:tc>
        <w:tc>
          <w:tcPr>
            <w:tcW w:w="2894" w:type="dxa"/>
            <w:vAlign w:val="center"/>
          </w:tcPr>
          <w:p w14:paraId="0A764DC4"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死亡率≥3‰，或重伤率≥10‰</w:t>
            </w:r>
          </w:p>
        </w:tc>
        <w:tc>
          <w:tcPr>
            <w:tcW w:w="2483" w:type="dxa"/>
            <w:vAlign w:val="center"/>
          </w:tcPr>
          <w:p w14:paraId="7791FD97" w14:textId="77777777" w:rsidR="000F7BA6" w:rsidRDefault="00000000">
            <w:pPr>
              <w:spacing w:line="560" w:lineRule="exact"/>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1‰≤死亡率＜3‰，或3‰≤重伤率＜10‰</w:t>
            </w:r>
          </w:p>
        </w:tc>
        <w:tc>
          <w:tcPr>
            <w:tcW w:w="2537" w:type="dxa"/>
            <w:vAlign w:val="center"/>
          </w:tcPr>
          <w:p w14:paraId="36BA7C32"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重伤率＜3‰，或轻伤率≥3‰</w:t>
            </w:r>
          </w:p>
        </w:tc>
      </w:tr>
      <w:tr w:rsidR="000F7BA6" w14:paraId="60CF5CF2" w14:textId="77777777">
        <w:trPr>
          <w:jc w:val="center"/>
        </w:trPr>
        <w:tc>
          <w:tcPr>
            <w:tcW w:w="1366" w:type="dxa"/>
            <w:vAlign w:val="center"/>
          </w:tcPr>
          <w:p w14:paraId="218C3F9F"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人力或成本超出预算</w:t>
            </w:r>
          </w:p>
        </w:tc>
        <w:tc>
          <w:tcPr>
            <w:tcW w:w="2894" w:type="dxa"/>
            <w:vAlign w:val="center"/>
          </w:tcPr>
          <w:p w14:paraId="1C71842A"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人力或成本超出预算≥10%</w:t>
            </w:r>
          </w:p>
        </w:tc>
        <w:tc>
          <w:tcPr>
            <w:tcW w:w="2483" w:type="dxa"/>
            <w:vAlign w:val="center"/>
          </w:tcPr>
          <w:p w14:paraId="49E80B16"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5%≤人力或成本超出预算＜10%</w:t>
            </w:r>
          </w:p>
        </w:tc>
        <w:tc>
          <w:tcPr>
            <w:tcW w:w="2537" w:type="dxa"/>
            <w:vAlign w:val="center"/>
          </w:tcPr>
          <w:p w14:paraId="65FE1DF0" w14:textId="77777777" w:rsidR="000F7BA6" w:rsidRDefault="00000000">
            <w:pPr>
              <w:jc w:val="center"/>
              <w:rPr>
                <w:rFonts w:ascii="仿宋_GB2312" w:eastAsia="仿宋_GB2312" w:hAnsi="CESI仿宋-GB2312" w:cs="CESI仿宋-GB2312" w:hint="eastAsia"/>
                <w:szCs w:val="21"/>
              </w:rPr>
            </w:pPr>
            <w:r>
              <w:rPr>
                <w:rFonts w:ascii="仿宋_GB2312" w:eastAsia="仿宋_GB2312" w:hAnsi="CESI仿宋-GB2312" w:cs="CESI仿宋-GB2312" w:hint="eastAsia"/>
                <w:szCs w:val="21"/>
              </w:rPr>
              <w:t>1%≤人力或成本超出预算＜5%</w:t>
            </w:r>
          </w:p>
        </w:tc>
      </w:tr>
    </w:tbl>
    <w:p w14:paraId="0E2DAB2D"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说明：公司无其他非财务报告内部控制缺陷评价的定量标说明。</w:t>
      </w:r>
    </w:p>
    <w:p w14:paraId="090C891C"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公司确定的非财务报告内部控制缺陷评价的定性标准如下：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7192"/>
      </w:tblGrid>
      <w:tr w:rsidR="000F7BA6" w14:paraId="42C5A2D6" w14:textId="77777777">
        <w:trPr>
          <w:cantSplit/>
          <w:jc w:val="center"/>
        </w:trPr>
        <w:tc>
          <w:tcPr>
            <w:tcW w:w="1330" w:type="dxa"/>
            <w:vAlign w:val="center"/>
          </w:tcPr>
          <w:p w14:paraId="40F4ADA5" w14:textId="77777777" w:rsidR="000F7BA6" w:rsidRDefault="00000000">
            <w:pPr>
              <w:jc w:val="cente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缺陷性质</w:t>
            </w:r>
          </w:p>
        </w:tc>
        <w:tc>
          <w:tcPr>
            <w:tcW w:w="7192" w:type="dxa"/>
            <w:vAlign w:val="center"/>
          </w:tcPr>
          <w:p w14:paraId="05B66ECF" w14:textId="77777777" w:rsidR="000F7BA6" w:rsidRDefault="00000000">
            <w:pPr>
              <w:jc w:val="cente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定性标准</w:t>
            </w:r>
          </w:p>
        </w:tc>
      </w:tr>
      <w:tr w:rsidR="000F7BA6" w14:paraId="1FFE4CF2" w14:textId="77777777">
        <w:trPr>
          <w:cantSplit/>
          <w:trHeight w:val="1250"/>
          <w:jc w:val="center"/>
        </w:trPr>
        <w:tc>
          <w:tcPr>
            <w:tcW w:w="1330" w:type="dxa"/>
            <w:vAlign w:val="center"/>
          </w:tcPr>
          <w:p w14:paraId="3304C8F4"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重大缺陷</w:t>
            </w:r>
          </w:p>
        </w:tc>
        <w:tc>
          <w:tcPr>
            <w:tcW w:w="7192" w:type="dxa"/>
            <w:vAlign w:val="center"/>
          </w:tcPr>
          <w:p w14:paraId="599E10FB"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个或多个控制缺陷的组合，可能导致企业严重偏离控制目标。存在重大缺陷的迹象包括：已经对外正式披露并对本公司定期报告披露造成负面影响；缺乏民主决策程序；违反决策程序导致重大失误；媒体频现负面新闻，涉及面广；重要业务缺乏制度控制或制度体系失效；出现集体违规违法案件；无法弥补的灾难性环境损害。</w:t>
            </w:r>
          </w:p>
        </w:tc>
      </w:tr>
      <w:tr w:rsidR="000F7BA6" w14:paraId="74200EBC" w14:textId="77777777">
        <w:trPr>
          <w:cantSplit/>
          <w:jc w:val="center"/>
        </w:trPr>
        <w:tc>
          <w:tcPr>
            <w:tcW w:w="1330" w:type="dxa"/>
            <w:vAlign w:val="center"/>
          </w:tcPr>
          <w:p w14:paraId="79DA98A2"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重要缺陷</w:t>
            </w:r>
          </w:p>
        </w:tc>
        <w:tc>
          <w:tcPr>
            <w:tcW w:w="7192" w:type="dxa"/>
            <w:vAlign w:val="center"/>
          </w:tcPr>
          <w:p w14:paraId="521E6BF2"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个或多个控制缺陷的组合，其严重程度和经济后果低于重大缺陷，但是仍有可能导致企业偏离控制目标。存在重要缺陷的迹象包括：受到国家政府部门处罚但未对本公司定期报告披露造成负面影响；民主决策程序存在但不够完善；决策程序导致出现一般失误；违反企业内部规章，形成损失；媒体出现负面新闻，波及局部区域；重要业务制度或系统存在缺陷；内部控制重要或一般缺陷在合理的期限内未得到整改；对环境造成中等影响。</w:t>
            </w:r>
          </w:p>
        </w:tc>
      </w:tr>
      <w:tr w:rsidR="000F7BA6" w14:paraId="0EE7E3C7" w14:textId="77777777">
        <w:trPr>
          <w:cantSplit/>
          <w:jc w:val="center"/>
        </w:trPr>
        <w:tc>
          <w:tcPr>
            <w:tcW w:w="1330" w:type="dxa"/>
            <w:vAlign w:val="center"/>
          </w:tcPr>
          <w:p w14:paraId="0CE22AC0" w14:textId="77777777" w:rsidR="000F7BA6" w:rsidRDefault="00000000">
            <w:pPr>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一般缺陷</w:t>
            </w:r>
          </w:p>
        </w:tc>
        <w:tc>
          <w:tcPr>
            <w:tcW w:w="7192" w:type="dxa"/>
            <w:vAlign w:val="center"/>
          </w:tcPr>
          <w:p w14:paraId="5B8EC351" w14:textId="77777777" w:rsidR="000F7BA6" w:rsidRDefault="00000000">
            <w:pPr>
              <w:jc w:val="left"/>
              <w:rPr>
                <w:rFonts w:ascii="仿宋_GB2312" w:eastAsia="仿宋_GB2312" w:hAnsi="CESI仿宋-GB2312" w:cs="CESI仿宋-GB2312" w:hint="eastAsia"/>
                <w:sz w:val="20"/>
                <w:szCs w:val="20"/>
              </w:rPr>
            </w:pPr>
            <w:r>
              <w:rPr>
                <w:rFonts w:ascii="仿宋_GB2312" w:eastAsia="仿宋_GB2312" w:hAnsi="CESI仿宋-GB2312" w:cs="CESI仿宋-GB2312" w:hint="eastAsia"/>
                <w:sz w:val="20"/>
                <w:szCs w:val="20"/>
              </w:rPr>
              <w:t>不构成重大缺陷或重要缺陷的其他内部控制缺陷。</w:t>
            </w:r>
          </w:p>
        </w:tc>
      </w:tr>
    </w:tbl>
    <w:p w14:paraId="711A0B9A" w14:textId="77777777" w:rsidR="000F7BA6" w:rsidRDefault="00000000">
      <w:pPr>
        <w:rPr>
          <w:rFonts w:ascii="仿宋_GB2312" w:eastAsia="仿宋_GB2312" w:hAnsi="CESI仿宋-GB2312" w:cs="CESI仿宋-GB2312" w:hint="eastAsia"/>
          <w:szCs w:val="21"/>
        </w:rPr>
      </w:pPr>
      <w:r>
        <w:rPr>
          <w:rFonts w:ascii="仿宋_GB2312" w:eastAsia="仿宋_GB2312" w:hAnsi="CESI仿宋-GB2312" w:cs="CESI仿宋-GB2312" w:hint="eastAsia"/>
          <w:szCs w:val="21"/>
        </w:rPr>
        <w:t>说明：公司无其他非财务报告内部控制缺陷评价的定性标说明。</w:t>
      </w:r>
    </w:p>
    <w:p w14:paraId="0F3C09A3"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（三）内部控制缺陷认定及整改情况</w:t>
      </w:r>
    </w:p>
    <w:p w14:paraId="0D4A5AE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1.财务报告内部控制缺陷认定及整改情况</w:t>
      </w:r>
    </w:p>
    <w:p w14:paraId="788E1B9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1.1重大缺陷</w:t>
      </w:r>
    </w:p>
    <w:p w14:paraId="7EC58196"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报告期内公司是否存在财务报告内部控制重大缺陷</w:t>
      </w:r>
    </w:p>
    <w:p w14:paraId="7A0962E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sym w:font="Wingdings 2" w:char="00A3"/>
      </w:r>
      <w:r>
        <w:rPr>
          <w:rFonts w:ascii="仿宋_GB2312" w:eastAsia="仿宋_GB2312" w:hAnsi="CESI仿宋-GB2312" w:cs="CESI仿宋-GB2312" w:hint="eastAsia"/>
          <w:sz w:val="32"/>
          <w:szCs w:val="32"/>
        </w:rPr>
        <w:t>是  √否</w:t>
      </w:r>
    </w:p>
    <w:p w14:paraId="5525460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1.2重要缺陷</w:t>
      </w:r>
    </w:p>
    <w:p w14:paraId="11FBBD2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报告期内公司是否存在财务报告内部控制重要缺陷</w:t>
      </w:r>
    </w:p>
    <w:p w14:paraId="01954A4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lastRenderedPageBreak/>
        <w:t>□是  √否</w:t>
      </w:r>
    </w:p>
    <w:p w14:paraId="574E7076"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1.3一般缺陷</w:t>
      </w:r>
    </w:p>
    <w:p w14:paraId="773D3854"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报告期内公司不存在财务报告内部控制一般缺陷。</w:t>
      </w:r>
    </w:p>
    <w:p w14:paraId="02A6F58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1.4经过上述整改，于内部控制评价报告基准日，公司是否存在未完成整改的财务报告内部控制重大缺陷</w:t>
      </w:r>
    </w:p>
    <w:p w14:paraId="5A266EE5"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0F793724"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1.5经过上述整改，于内部控制评价报告基准日，公司是否存在未完成整改的财务报告内部控制重要缺陷</w:t>
      </w:r>
    </w:p>
    <w:p w14:paraId="3845126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4CE0E23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2.非财务报告内部控制缺陷认定及整改情况</w:t>
      </w:r>
    </w:p>
    <w:p w14:paraId="6A52890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2.1重大缺陷</w:t>
      </w:r>
    </w:p>
    <w:p w14:paraId="7B5EDA54"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报告期内公司是否发现非财务报告内部控制重大缺陷</w:t>
      </w:r>
    </w:p>
    <w:p w14:paraId="00EAC919"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4A316BDE"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2.2重要缺陷</w:t>
      </w:r>
    </w:p>
    <w:p w14:paraId="65040ECC"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报告期内公司是否发现非财务报告内部控制重要缺陷</w:t>
      </w:r>
    </w:p>
    <w:p w14:paraId="67B883AB"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sym w:font="Wingdings 2" w:char="00A3"/>
      </w:r>
      <w:r>
        <w:rPr>
          <w:rFonts w:ascii="仿宋_GB2312" w:eastAsia="仿宋_GB2312" w:hAnsi="CESI仿宋-GB2312" w:cs="CESI仿宋-GB2312" w:hint="eastAsia"/>
          <w:sz w:val="32"/>
          <w:szCs w:val="32"/>
        </w:rPr>
        <w:t>是  √否</w:t>
      </w:r>
    </w:p>
    <w:p w14:paraId="2CA035FA"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2.3一般缺陷</w:t>
      </w:r>
    </w:p>
    <w:p w14:paraId="19437F2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报告期内发现的一般缺陷可能导致的风险均在可控范围之内，不会对公司的资产安全、发展战略和经营目标的实现、财务信息的准确性和完整性、风险管理体系的有效性等造成实质性影响，不会导致公司偏离控制目标，并且已经制定了具体的方案和措施认真落实整改。</w:t>
      </w:r>
    </w:p>
    <w:p w14:paraId="4D71D202"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lastRenderedPageBreak/>
        <w:t>2.4经过上述整改，于内部控制评价报告基准日，公司是否发现未完成整改的非财务报告内部控制重大缺陷</w:t>
      </w:r>
    </w:p>
    <w:p w14:paraId="2292849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69F4B9D1"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2.5经过上述整改，于内部控制评价报告基准日，公司是否发现未完成整改的非财务报告内部控制重要缺陷</w:t>
      </w:r>
    </w:p>
    <w:p w14:paraId="6C896C87"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□是  √否</w:t>
      </w:r>
    </w:p>
    <w:p w14:paraId="6F155C91" w14:textId="77777777" w:rsidR="000F7BA6" w:rsidRDefault="00000000">
      <w:pPr>
        <w:ind w:firstLineChars="200" w:firstLine="643"/>
        <w:rPr>
          <w:rFonts w:ascii="仿宋_GB2312" w:eastAsia="仿宋_GB2312" w:hAnsi="CESI仿宋-GB2312" w:cs="CESI仿宋-GB2312" w:hint="eastAsia"/>
          <w:b/>
          <w:bCs/>
          <w:sz w:val="32"/>
          <w:szCs w:val="32"/>
        </w:rPr>
      </w:pPr>
      <w:r>
        <w:rPr>
          <w:rFonts w:ascii="仿宋_GB2312" w:eastAsia="仿宋_GB2312" w:hAnsi="CESI仿宋-GB2312" w:cs="CESI仿宋-GB2312" w:hint="eastAsia"/>
          <w:b/>
          <w:bCs/>
          <w:sz w:val="32"/>
          <w:szCs w:val="32"/>
        </w:rPr>
        <w:t>四、其他内部控制相关重大事项说明</w:t>
      </w:r>
    </w:p>
    <w:p w14:paraId="218D2BA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1.上一年度内部控制缺陷整改情况</w:t>
      </w:r>
    </w:p>
    <w:p w14:paraId="3FD14F35"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√适用 □不适用</w:t>
      </w:r>
    </w:p>
    <w:p w14:paraId="5BD8896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公司上一年度所发现内部控制缺陷均为一般缺陷。公司建立了科学合理的整改工作机制，明确具体缺陷的整改责任单位，制定详细的整改方案并严格落实。公司上一年度所发现内部控制缺陷均已整改完成。</w:t>
      </w:r>
    </w:p>
    <w:p w14:paraId="1D1C3CD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2.本年度内部控制运行情况</w:t>
      </w:r>
    </w:p>
    <w:p w14:paraId="5F57BB35" w14:textId="77777777" w:rsidR="000F7BA6" w:rsidRDefault="00000000">
      <w:pPr>
        <w:ind w:leftChars="200" w:left="420" w:firstLineChars="100" w:firstLine="32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√适用 □不适用</w:t>
      </w:r>
    </w:p>
    <w:p w14:paraId="43B5C0B0"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本年度公司依据企业内部控制规范体系及其他内部控制监管要求，结合公司《内部控制管理手册》和《内部控制自我评价手册》等围绕内部控制五要素，组织开展内部控制评价工作。公司现有内部控制体系能够适应公司的管理要求，从公司层面到各业务层面均建立了系统的内部控制及必要的内部监督机制，能够为公司经营管理的合法、合规，资产安全、财务报告及相关信息的真实、公允提供合理的保证。</w:t>
      </w:r>
    </w:p>
    <w:p w14:paraId="2EADF103"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lastRenderedPageBreak/>
        <w:t>3.其他重大事项说明</w:t>
      </w:r>
    </w:p>
    <w:p w14:paraId="6203C818"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□适用 √不适用</w:t>
      </w:r>
    </w:p>
    <w:p w14:paraId="46202FEA" w14:textId="77777777" w:rsidR="000F7BA6" w:rsidRDefault="000F7BA6">
      <w:pPr>
        <w:ind w:firstLineChars="200" w:firstLine="640"/>
        <w:rPr>
          <w:rFonts w:ascii="仿宋_GB2312" w:eastAsia="仿宋_GB2312" w:hAnsi="CESI仿宋-GB2312" w:cs="CESI仿宋-GB2312" w:hint="eastAsia"/>
          <w:sz w:val="32"/>
          <w:szCs w:val="32"/>
        </w:rPr>
      </w:pPr>
    </w:p>
    <w:p w14:paraId="5BDAECC3" w14:textId="77777777" w:rsidR="000F7BA6" w:rsidRDefault="000F7BA6">
      <w:pPr>
        <w:ind w:firstLineChars="200" w:firstLine="640"/>
        <w:rPr>
          <w:rFonts w:ascii="仿宋_GB2312" w:eastAsia="仿宋_GB2312" w:hAnsi="CESI仿宋-GB2312" w:cs="CESI仿宋-GB2312" w:hint="eastAsia"/>
          <w:sz w:val="32"/>
          <w:szCs w:val="32"/>
        </w:rPr>
      </w:pPr>
    </w:p>
    <w:p w14:paraId="78B9DCFD"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 xml:space="preserve">               保利联合化工控股集团股份有限公司</w:t>
      </w:r>
    </w:p>
    <w:p w14:paraId="0D5FC22F" w14:textId="77777777" w:rsidR="000F7BA6" w:rsidRDefault="00000000">
      <w:pPr>
        <w:ind w:firstLineChars="200" w:firstLine="640"/>
        <w:rPr>
          <w:rFonts w:ascii="仿宋_GB2312" w:eastAsia="仿宋_GB2312" w:hAnsi="CESI仿宋-GB2312" w:cs="CESI仿宋-GB2312" w:hint="eastAsia"/>
          <w:sz w:val="32"/>
          <w:szCs w:val="32"/>
        </w:rPr>
      </w:pPr>
      <w:r>
        <w:rPr>
          <w:rFonts w:ascii="仿宋_GB2312" w:eastAsia="仿宋_GB2312" w:hAnsi="CESI仿宋-GB2312" w:cs="CESI仿宋-GB2312" w:hint="eastAsia"/>
          <w:sz w:val="32"/>
          <w:szCs w:val="32"/>
        </w:rPr>
        <w:t xml:space="preserve">                         2026年4月28日</w:t>
      </w:r>
    </w:p>
    <w:p w14:paraId="2DA94AAF" w14:textId="77777777" w:rsidR="000F7BA6" w:rsidRDefault="000F7BA6">
      <w:pPr>
        <w:ind w:firstLineChars="200" w:firstLine="640"/>
        <w:rPr>
          <w:rFonts w:ascii="CESI仿宋-GB2312" w:eastAsia="CESI仿宋-GB2312" w:hAnsi="CESI仿宋-GB2312" w:cs="CESI仿宋-GB2312" w:hint="eastAsia"/>
          <w:sz w:val="32"/>
          <w:szCs w:val="32"/>
        </w:rPr>
      </w:pPr>
    </w:p>
    <w:sectPr w:rsidR="000F7BA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493C" w14:textId="77777777" w:rsidR="00D0019F" w:rsidRDefault="00D0019F">
      <w:r>
        <w:separator/>
      </w:r>
    </w:p>
  </w:endnote>
  <w:endnote w:type="continuationSeparator" w:id="0">
    <w:p w14:paraId="4CE9D899" w14:textId="77777777" w:rsidR="00D0019F" w:rsidRDefault="00D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ESI仿宋-GB2312">
    <w:altName w:val="仿宋"/>
    <w:charset w:val="86"/>
    <w:family w:val="auto"/>
    <w:pitch w:val="default"/>
    <w:sig w:usb0="800002AF" w:usb1="084F6CF8" w:usb2="00000010"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7728" w14:textId="77777777" w:rsidR="000F7BA6" w:rsidRDefault="000F7BA6">
    <w:pPr>
      <w:pStyle w:val="a5"/>
    </w:pPr>
  </w:p>
  <w:p w14:paraId="5E170582" w14:textId="77777777" w:rsidR="000F7BA6" w:rsidRDefault="00000000">
    <w:pPr>
      <w:pStyle w:val="a5"/>
    </w:pPr>
    <w:r>
      <w:rPr>
        <w:noProof/>
      </w:rPr>
      <mc:AlternateContent>
        <mc:Choice Requires="wps">
          <w:drawing>
            <wp:anchor distT="0" distB="0" distL="114300" distR="114300" simplePos="0" relativeHeight="251659264" behindDoc="0" locked="0" layoutInCell="1" allowOverlap="1" wp14:anchorId="3CE9DEF2" wp14:editId="731AB4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E4E43" w14:textId="77777777" w:rsidR="000F7BA6" w:rsidRDefault="00000000">
                          <w:pPr>
                            <w:pStyle w:val="a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3CE9DEF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29E4E43" w14:textId="77777777" w:rsidR="000F7BA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ECBF" w14:textId="77777777" w:rsidR="00D0019F" w:rsidRDefault="00D0019F">
      <w:r>
        <w:separator/>
      </w:r>
    </w:p>
  </w:footnote>
  <w:footnote w:type="continuationSeparator" w:id="0">
    <w:p w14:paraId="0E4CF5A9" w14:textId="77777777" w:rsidR="00D0019F" w:rsidRDefault="00D0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F45"/>
    <w:rsid w:val="0004598B"/>
    <w:rsid w:val="000A29EE"/>
    <w:rsid w:val="000B66DA"/>
    <w:rsid w:val="000E5AEC"/>
    <w:rsid w:val="000F7BA6"/>
    <w:rsid w:val="001C12AC"/>
    <w:rsid w:val="0020069E"/>
    <w:rsid w:val="0020771F"/>
    <w:rsid w:val="00291859"/>
    <w:rsid w:val="0033074C"/>
    <w:rsid w:val="00381D7C"/>
    <w:rsid w:val="003B3522"/>
    <w:rsid w:val="004111B7"/>
    <w:rsid w:val="005D2438"/>
    <w:rsid w:val="006B060C"/>
    <w:rsid w:val="007F5EF5"/>
    <w:rsid w:val="00805B55"/>
    <w:rsid w:val="008D0563"/>
    <w:rsid w:val="00A64DAD"/>
    <w:rsid w:val="00B95D20"/>
    <w:rsid w:val="00C61210"/>
    <w:rsid w:val="00CB2066"/>
    <w:rsid w:val="00D0019F"/>
    <w:rsid w:val="00DE2056"/>
    <w:rsid w:val="00FA7F45"/>
    <w:rsid w:val="00FC489C"/>
    <w:rsid w:val="07F7406F"/>
    <w:rsid w:val="198B7A64"/>
    <w:rsid w:val="1CF7B323"/>
    <w:rsid w:val="1E1F4746"/>
    <w:rsid w:val="2CB336E2"/>
    <w:rsid w:val="2EF3C413"/>
    <w:rsid w:val="35557B96"/>
    <w:rsid w:val="37593EC2"/>
    <w:rsid w:val="37D31530"/>
    <w:rsid w:val="3BAD0987"/>
    <w:rsid w:val="3BBC01EC"/>
    <w:rsid w:val="3CE537E3"/>
    <w:rsid w:val="3DFF96A9"/>
    <w:rsid w:val="3F2F1276"/>
    <w:rsid w:val="4EB71551"/>
    <w:rsid w:val="4ECF6364"/>
    <w:rsid w:val="4FFF773E"/>
    <w:rsid w:val="543520DB"/>
    <w:rsid w:val="549C60BD"/>
    <w:rsid w:val="5596181C"/>
    <w:rsid w:val="57BD73EC"/>
    <w:rsid w:val="5DFF54A3"/>
    <w:rsid w:val="5DFFE815"/>
    <w:rsid w:val="5FBD766E"/>
    <w:rsid w:val="5FED6937"/>
    <w:rsid w:val="5FFAF8A3"/>
    <w:rsid w:val="61FAB5AE"/>
    <w:rsid w:val="654A3D42"/>
    <w:rsid w:val="662D03F8"/>
    <w:rsid w:val="66FF40FC"/>
    <w:rsid w:val="67577771"/>
    <w:rsid w:val="67AFEBC0"/>
    <w:rsid w:val="69BA1109"/>
    <w:rsid w:val="69EEBD58"/>
    <w:rsid w:val="6A4D47CD"/>
    <w:rsid w:val="6BF46A21"/>
    <w:rsid w:val="6CFF244C"/>
    <w:rsid w:val="6D2412D4"/>
    <w:rsid w:val="6E503990"/>
    <w:rsid w:val="6EEF8BD1"/>
    <w:rsid w:val="6F5E92FF"/>
    <w:rsid w:val="6FEFA1E1"/>
    <w:rsid w:val="6FF68A5C"/>
    <w:rsid w:val="735F5811"/>
    <w:rsid w:val="73883ABA"/>
    <w:rsid w:val="75287E19"/>
    <w:rsid w:val="7593C292"/>
    <w:rsid w:val="764E4813"/>
    <w:rsid w:val="76C43967"/>
    <w:rsid w:val="773D157E"/>
    <w:rsid w:val="774C1C05"/>
    <w:rsid w:val="7B3F4C9C"/>
    <w:rsid w:val="7BDDDA01"/>
    <w:rsid w:val="7C2FA67C"/>
    <w:rsid w:val="7CFC4F95"/>
    <w:rsid w:val="7D8FD0CA"/>
    <w:rsid w:val="7DDF0A55"/>
    <w:rsid w:val="7DDF947B"/>
    <w:rsid w:val="7EAFF134"/>
    <w:rsid w:val="7F7ECDD3"/>
    <w:rsid w:val="7FF42193"/>
    <w:rsid w:val="7FFFE666"/>
    <w:rsid w:val="8ACEE76B"/>
    <w:rsid w:val="9EFFB66B"/>
    <w:rsid w:val="9FFF55BC"/>
    <w:rsid w:val="ABF706CE"/>
    <w:rsid w:val="B3FF4EBE"/>
    <w:rsid w:val="B6FFBE3D"/>
    <w:rsid w:val="B76F99EA"/>
    <w:rsid w:val="BBBF2C01"/>
    <w:rsid w:val="BE8F4FC7"/>
    <w:rsid w:val="BEFE8D17"/>
    <w:rsid w:val="C7FB527B"/>
    <w:rsid w:val="CFFF211B"/>
    <w:rsid w:val="D56E489E"/>
    <w:rsid w:val="D7FF87E8"/>
    <w:rsid w:val="DB7F2FB0"/>
    <w:rsid w:val="DBB99462"/>
    <w:rsid w:val="DDE53A5E"/>
    <w:rsid w:val="E7FD75B9"/>
    <w:rsid w:val="E99B7AB0"/>
    <w:rsid w:val="E9D32E99"/>
    <w:rsid w:val="EA7F6648"/>
    <w:rsid w:val="EFD76017"/>
    <w:rsid w:val="F03F4362"/>
    <w:rsid w:val="F24F2C55"/>
    <w:rsid w:val="F3DD4BC4"/>
    <w:rsid w:val="F52FE1D2"/>
    <w:rsid w:val="F5AF053D"/>
    <w:rsid w:val="F6BBB32C"/>
    <w:rsid w:val="F6CFF74A"/>
    <w:rsid w:val="F6DF2BBC"/>
    <w:rsid w:val="F96F5BAF"/>
    <w:rsid w:val="FAFF2ACB"/>
    <w:rsid w:val="FB7F1459"/>
    <w:rsid w:val="FBA7C44A"/>
    <w:rsid w:val="FBEF9337"/>
    <w:rsid w:val="FEF9634C"/>
    <w:rsid w:val="FFBD5C60"/>
    <w:rsid w:val="FFDBF8A7"/>
    <w:rsid w:val="FFFB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BE50"/>
  <w15:docId w15:val="{BD3C4981-3C73-4217-B3E0-3A72BB9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21"/>
      <w:szCs w:val="21"/>
    </w:rPr>
  </w:style>
  <w:style w:type="character" w:customStyle="1" w:styleId="a4">
    <w:name w:val="批注文字 字符"/>
    <w:link w:val="a3"/>
    <w:rPr>
      <w:kern w:val="2"/>
      <w:sz w:val="21"/>
      <w:szCs w:val="24"/>
    </w:rPr>
  </w:style>
  <w:style w:type="character" w:customStyle="1" w:styleId="a8">
    <w:name w:val="批注主题 字符"/>
    <w:link w:val="a7"/>
    <w:rPr>
      <w:b/>
      <w:bCs/>
      <w:kern w:val="2"/>
      <w:sz w:val="21"/>
      <w:szCs w:val="24"/>
    </w:rPr>
  </w:style>
  <w:style w:type="paragraph" w:customStyle="1" w:styleId="ab">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L-poly</dc:creator>
  <cp:lastModifiedBy>李吉</cp:lastModifiedBy>
  <cp:revision>4</cp:revision>
  <cp:lastPrinted>2026-03-16T01:47:00Z</cp:lastPrinted>
  <dcterms:created xsi:type="dcterms:W3CDTF">2022-03-04T00:07:00Z</dcterms:created>
  <dcterms:modified xsi:type="dcterms:W3CDTF">2026-04-28T04:20:00Z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05BAAD9820CD44FDA0DDA24C83FAD8AF_13</vt:lpwstr>
  </property>
</Properties>
</file>