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1A08A">
      <w:pPr>
        <w:autoSpaceDE w:val="0"/>
        <w:autoSpaceDN w:val="0"/>
        <w:adjustRightInd w:val="0"/>
        <w:spacing w:line="360" w:lineRule="auto"/>
        <w:jc w:val="left"/>
        <w:rPr>
          <w:rFonts w:hint="eastAsia" w:ascii="宋体" w:hAnsi="宋体" w:eastAsia="宋体" w:cs="Times New Roman"/>
          <w:sz w:val="24"/>
        </w:rPr>
      </w:pPr>
      <w:r>
        <w:rPr>
          <w:rFonts w:hint="eastAsia" w:ascii="宋体" w:hAnsi="宋体" w:eastAsia="宋体" w:cs="Times New Roman"/>
          <w:sz w:val="24"/>
        </w:rPr>
        <w:t>证券代码：002037          证券简称：保利联合       公告编号：2026-18</w:t>
      </w:r>
    </w:p>
    <w:p w14:paraId="50BB8D4F">
      <w:pPr>
        <w:snapToGrid w:val="0"/>
        <w:spacing w:before="312" w:beforeLines="100" w:line="276" w:lineRule="auto"/>
        <w:jc w:val="center"/>
        <w:rPr>
          <w:rFonts w:hint="eastAsia" w:ascii="宋体" w:hAnsi="宋体"/>
          <w:b/>
          <w:bCs/>
          <w:sz w:val="36"/>
          <w:szCs w:val="36"/>
        </w:rPr>
      </w:pPr>
      <w:r>
        <w:rPr>
          <w:rFonts w:hint="eastAsia" w:ascii="宋体" w:hAnsi="宋体"/>
          <w:b/>
          <w:bCs/>
          <w:sz w:val="36"/>
          <w:szCs w:val="36"/>
        </w:rPr>
        <w:t>保利联合化工控股集团股份有限公司</w:t>
      </w:r>
    </w:p>
    <w:p w14:paraId="1B10AFA3">
      <w:pPr>
        <w:snapToGrid w:val="0"/>
        <w:spacing w:line="276" w:lineRule="auto"/>
        <w:jc w:val="center"/>
        <w:rPr>
          <w:rFonts w:hint="eastAsia" w:ascii="宋体" w:hAnsi="宋体"/>
          <w:b/>
          <w:bCs/>
          <w:sz w:val="36"/>
          <w:szCs w:val="36"/>
        </w:rPr>
      </w:pPr>
      <w:r>
        <w:rPr>
          <w:rFonts w:hint="eastAsia" w:ascii="宋体" w:hAnsi="宋体"/>
          <w:b/>
          <w:bCs/>
          <w:sz w:val="36"/>
          <w:szCs w:val="36"/>
        </w:rPr>
        <w:t>关于2026年度日常关联交易预计的公告</w:t>
      </w:r>
    </w:p>
    <w:p w14:paraId="769009CA">
      <w:pPr>
        <w:pStyle w:val="2"/>
      </w:pPr>
    </w:p>
    <w:p w14:paraId="6A2EC3CC">
      <w:pPr>
        <w:pStyle w:val="2"/>
        <w:spacing w:line="360" w:lineRule="auto"/>
        <w:ind w:firstLine="482"/>
      </w:pPr>
      <w:r>
        <w:rPr>
          <w:rFonts w:hint="eastAsia" w:ascii="宋体" w:hAnsi="宋体"/>
          <w:b/>
          <w:bCs/>
          <w:sz w:val="24"/>
        </w:rPr>
        <w:t>本公司及董事会全体成员保证信息披露内容的真实、准确和完整，没有虚假记载、误导性陈述或重大遗漏。</w:t>
      </w:r>
    </w:p>
    <w:p w14:paraId="1F1A632B"/>
    <w:p w14:paraId="1553C11A">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一、关联交易基本情况</w:t>
      </w:r>
    </w:p>
    <w:p w14:paraId="09EACD69">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（一）关联交易概述</w:t>
      </w:r>
    </w:p>
    <w:p w14:paraId="5035CD01">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按照保利联合化工控股集团股份有限公司（以下简称“公司”）日常经营业务需要，根据市场价格，在遵循“公开、公平、公正”原则下，公司及下属子、分公司预计2026年全年与实际控制人中国保利集团有限公司（以下简称“保利集团”）和控股股东保利久联控股集团有限责任公司（以下简称“保利久联”）及其下属企业发生日常关联交易总金额累计不超过9.35亿元。</w:t>
      </w:r>
    </w:p>
    <w:p w14:paraId="31F6D413">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2026年4月27日，公司召开的第七届董事会第二十四次会议审议了《关于公司2026年度日常关联交易预计的议案》，关联董事张新民、童云翔、侯鸿翔回避表决，其余3位独立董事以3票同意，0票反对，0票弃权的表决结果通过该项议案。本议案在提交董事会审议前，已经公司第七届董事会风控与审计委员会2026年第五次工作会会议及独立董事2026年第一次专门会议审议通过。</w:t>
      </w:r>
    </w:p>
    <w:p w14:paraId="1B6A731D">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公司2026年度日常关联交易预计事项尚需获得股东会的批准，关联股东需回避表决。</w:t>
      </w:r>
    </w:p>
    <w:p w14:paraId="0AE69BCD">
      <w:pPr>
        <w:pStyle w:val="2"/>
        <w:ind w:firstLine="643"/>
        <w:rPr>
          <w:rFonts w:hint="eastAsia" w:ascii="仿宋" w:hAnsi="仿宋" w:eastAsia="仿宋" w:cs="Times New Roman"/>
          <w:b/>
          <w:bCs/>
          <w:sz w:val="32"/>
          <w:szCs w:val="32"/>
        </w:rPr>
      </w:pPr>
      <w:r>
        <w:rPr>
          <w:rFonts w:hint="eastAsia" w:ascii="仿宋" w:hAnsi="仿宋" w:eastAsia="仿宋" w:cs="Times New Roman"/>
          <w:b/>
          <w:bCs/>
          <w:sz w:val="32"/>
          <w:szCs w:val="32"/>
        </w:rPr>
        <w:t>（二）2026年度预计关联交易类别和金额</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1125"/>
        <w:gridCol w:w="1271"/>
        <w:gridCol w:w="1250"/>
        <w:gridCol w:w="1300"/>
        <w:gridCol w:w="1296"/>
      </w:tblGrid>
      <w:tr w14:paraId="1F48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CF68965">
            <w:pPr>
              <w:jc w:val="center"/>
              <w:rPr>
                <w:rFonts w:hint="eastAsia" w:ascii="仿宋" w:hAnsi="仿宋" w:eastAsia="仿宋"/>
                <w:b/>
                <w:szCs w:val="21"/>
              </w:rPr>
            </w:pPr>
            <w:r>
              <w:rPr>
                <w:rFonts w:hint="eastAsia" w:ascii="仿宋" w:hAnsi="仿宋" w:eastAsia="仿宋"/>
                <w:b/>
                <w:szCs w:val="21"/>
              </w:rPr>
              <w:t>关联交易类别</w:t>
            </w:r>
          </w:p>
        </w:tc>
        <w:tc>
          <w:tcPr>
            <w:tcW w:w="1701" w:type="dxa"/>
            <w:vAlign w:val="center"/>
          </w:tcPr>
          <w:p w14:paraId="70B4B0A3">
            <w:pPr>
              <w:jc w:val="center"/>
              <w:rPr>
                <w:rFonts w:hint="eastAsia" w:ascii="仿宋" w:hAnsi="仿宋" w:eastAsia="仿宋"/>
                <w:b/>
                <w:szCs w:val="21"/>
              </w:rPr>
            </w:pPr>
            <w:r>
              <w:rPr>
                <w:rFonts w:hint="eastAsia" w:ascii="仿宋" w:hAnsi="仿宋" w:eastAsia="仿宋"/>
                <w:b/>
                <w:szCs w:val="21"/>
              </w:rPr>
              <w:t>关联人</w:t>
            </w:r>
          </w:p>
        </w:tc>
        <w:tc>
          <w:tcPr>
            <w:tcW w:w="1125" w:type="dxa"/>
            <w:vAlign w:val="center"/>
          </w:tcPr>
          <w:p w14:paraId="02A11DDA">
            <w:pPr>
              <w:jc w:val="center"/>
              <w:rPr>
                <w:rFonts w:hint="eastAsia" w:ascii="仿宋" w:hAnsi="仿宋" w:eastAsia="仿宋"/>
                <w:b/>
                <w:szCs w:val="21"/>
              </w:rPr>
            </w:pPr>
            <w:r>
              <w:rPr>
                <w:rFonts w:hint="eastAsia" w:ascii="仿宋" w:hAnsi="仿宋" w:eastAsia="仿宋"/>
                <w:b/>
                <w:szCs w:val="21"/>
              </w:rPr>
              <w:t>关联交易内容</w:t>
            </w:r>
          </w:p>
        </w:tc>
        <w:tc>
          <w:tcPr>
            <w:tcW w:w="1271" w:type="dxa"/>
            <w:vAlign w:val="center"/>
          </w:tcPr>
          <w:p w14:paraId="2295647F">
            <w:pPr>
              <w:jc w:val="center"/>
              <w:rPr>
                <w:rFonts w:hint="eastAsia" w:ascii="仿宋" w:hAnsi="仿宋" w:eastAsia="仿宋"/>
                <w:b/>
                <w:szCs w:val="21"/>
              </w:rPr>
            </w:pPr>
            <w:r>
              <w:rPr>
                <w:rFonts w:hint="eastAsia" w:ascii="仿宋" w:hAnsi="仿宋" w:eastAsia="仿宋"/>
                <w:b/>
                <w:szCs w:val="21"/>
              </w:rPr>
              <w:t>关联交易定价原则</w:t>
            </w:r>
          </w:p>
        </w:tc>
        <w:tc>
          <w:tcPr>
            <w:tcW w:w="1250" w:type="dxa"/>
            <w:vAlign w:val="center"/>
          </w:tcPr>
          <w:p w14:paraId="50B1211F">
            <w:pPr>
              <w:jc w:val="center"/>
              <w:rPr>
                <w:rFonts w:hint="eastAsia" w:ascii="仿宋" w:hAnsi="仿宋" w:eastAsia="仿宋"/>
                <w:b/>
                <w:szCs w:val="21"/>
              </w:rPr>
            </w:pPr>
            <w:r>
              <w:rPr>
                <w:rFonts w:hint="eastAsia" w:ascii="仿宋" w:hAnsi="仿宋" w:eastAsia="仿宋"/>
                <w:b/>
                <w:szCs w:val="21"/>
              </w:rPr>
              <w:t>2026</w:t>
            </w:r>
            <w:r>
              <w:rPr>
                <w:rFonts w:ascii="仿宋" w:hAnsi="仿宋" w:eastAsia="仿宋"/>
                <w:b/>
                <w:szCs w:val="21"/>
              </w:rPr>
              <w:t>年预计交易金额（万元）</w:t>
            </w:r>
          </w:p>
        </w:tc>
        <w:tc>
          <w:tcPr>
            <w:tcW w:w="1300" w:type="dxa"/>
            <w:vAlign w:val="center"/>
          </w:tcPr>
          <w:p w14:paraId="58C6D876">
            <w:pPr>
              <w:widowControl/>
              <w:jc w:val="center"/>
              <w:textAlignment w:val="center"/>
              <w:rPr>
                <w:rFonts w:hint="eastAsia" w:ascii="仿宋" w:hAnsi="仿宋" w:eastAsia="仿宋"/>
                <w:b/>
                <w:szCs w:val="21"/>
              </w:rPr>
            </w:pPr>
            <w:r>
              <w:rPr>
                <w:rFonts w:hint="eastAsia" w:ascii="仿宋" w:hAnsi="仿宋" w:eastAsia="仿宋"/>
                <w:b/>
                <w:szCs w:val="21"/>
              </w:rPr>
              <w:t>截至披露日已发生金额</w:t>
            </w:r>
          </w:p>
          <w:p w14:paraId="6F48A463">
            <w:pPr>
              <w:widowControl/>
              <w:jc w:val="center"/>
              <w:textAlignment w:val="center"/>
              <w:rPr>
                <w:rFonts w:hint="eastAsia" w:ascii="仿宋" w:hAnsi="仿宋" w:eastAsia="仿宋"/>
                <w:b/>
                <w:szCs w:val="21"/>
              </w:rPr>
            </w:pPr>
            <w:r>
              <w:rPr>
                <w:rFonts w:hint="eastAsia" w:ascii="仿宋" w:hAnsi="仿宋" w:eastAsia="仿宋"/>
                <w:b/>
                <w:szCs w:val="21"/>
              </w:rPr>
              <w:t>（万元）</w:t>
            </w:r>
          </w:p>
        </w:tc>
        <w:tc>
          <w:tcPr>
            <w:tcW w:w="1296" w:type="dxa"/>
            <w:vAlign w:val="center"/>
          </w:tcPr>
          <w:p w14:paraId="4B027BDD">
            <w:pPr>
              <w:jc w:val="center"/>
              <w:rPr>
                <w:rFonts w:hint="eastAsia" w:ascii="仿宋" w:hAnsi="仿宋" w:eastAsia="仿宋"/>
                <w:b/>
                <w:szCs w:val="21"/>
              </w:rPr>
            </w:pPr>
            <w:r>
              <w:rPr>
                <w:rFonts w:ascii="仿宋" w:hAnsi="仿宋" w:eastAsia="仿宋"/>
                <w:b/>
                <w:szCs w:val="21"/>
              </w:rPr>
              <w:t>上年发生金额（万元）</w:t>
            </w:r>
          </w:p>
        </w:tc>
      </w:tr>
      <w:tr w14:paraId="3C04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E791737">
            <w:pPr>
              <w:widowControl/>
              <w:rPr>
                <w:rFonts w:hint="eastAsia" w:ascii="仿宋" w:hAnsi="仿宋" w:eastAsia="仿宋"/>
                <w:bCs/>
                <w:szCs w:val="21"/>
              </w:rPr>
            </w:pPr>
            <w:r>
              <w:rPr>
                <w:rFonts w:hint="eastAsia" w:ascii="仿宋" w:hAnsi="仿宋" w:eastAsia="仿宋"/>
                <w:bCs/>
                <w:szCs w:val="21"/>
              </w:rPr>
              <w:t>向关联方销售商品</w:t>
            </w:r>
          </w:p>
        </w:tc>
        <w:tc>
          <w:tcPr>
            <w:tcW w:w="1701" w:type="dxa"/>
            <w:vAlign w:val="center"/>
          </w:tcPr>
          <w:p w14:paraId="4EA05C7F">
            <w:pPr>
              <w:widowControl/>
              <w:rPr>
                <w:rFonts w:hint="eastAsia" w:ascii="仿宋" w:hAnsi="仿宋" w:eastAsia="仿宋"/>
                <w:bCs/>
                <w:szCs w:val="21"/>
              </w:rPr>
            </w:pPr>
            <w:r>
              <w:rPr>
                <w:rFonts w:hint="eastAsia" w:ascii="仿宋" w:hAnsi="仿宋" w:eastAsia="仿宋"/>
                <w:szCs w:val="21"/>
              </w:rPr>
              <w:t>保利集团控制的企业（含</w:t>
            </w:r>
            <w:r>
              <w:rPr>
                <w:rFonts w:hint="eastAsia" w:ascii="仿宋" w:hAnsi="仿宋" w:eastAsia="仿宋"/>
                <w:bCs/>
                <w:szCs w:val="21"/>
              </w:rPr>
              <w:t>其他受控股股东保利久联控制的关联企业</w:t>
            </w:r>
            <w:r>
              <w:rPr>
                <w:rFonts w:hint="eastAsia" w:ascii="仿宋" w:hAnsi="仿宋" w:eastAsia="仿宋"/>
                <w:szCs w:val="21"/>
              </w:rPr>
              <w:t>）</w:t>
            </w:r>
          </w:p>
        </w:tc>
        <w:tc>
          <w:tcPr>
            <w:tcW w:w="1125" w:type="dxa"/>
            <w:vAlign w:val="center"/>
          </w:tcPr>
          <w:p w14:paraId="5F5F5A2C">
            <w:pPr>
              <w:jc w:val="center"/>
              <w:rPr>
                <w:rFonts w:hint="eastAsia" w:ascii="仿宋" w:hAnsi="仿宋" w:eastAsia="仿宋"/>
                <w:bCs/>
                <w:szCs w:val="21"/>
              </w:rPr>
            </w:pPr>
            <w:r>
              <w:rPr>
                <w:rFonts w:hint="eastAsia" w:ascii="仿宋" w:hAnsi="仿宋" w:eastAsia="仿宋"/>
                <w:bCs/>
                <w:szCs w:val="21"/>
              </w:rPr>
              <w:t>销售商品</w:t>
            </w:r>
          </w:p>
        </w:tc>
        <w:tc>
          <w:tcPr>
            <w:tcW w:w="1271" w:type="dxa"/>
            <w:vAlign w:val="center"/>
          </w:tcPr>
          <w:p w14:paraId="1C5B5CE4">
            <w:pPr>
              <w:jc w:val="center"/>
              <w:rPr>
                <w:rFonts w:hint="eastAsia" w:ascii="仿宋" w:hAnsi="仿宋" w:eastAsia="仿宋"/>
                <w:bCs/>
                <w:szCs w:val="21"/>
              </w:rPr>
            </w:pPr>
            <w:r>
              <w:rPr>
                <w:rFonts w:hint="eastAsia" w:ascii="仿宋" w:hAnsi="仿宋" w:eastAsia="仿宋"/>
                <w:bCs/>
                <w:szCs w:val="21"/>
              </w:rPr>
              <w:t>市场定价</w:t>
            </w:r>
          </w:p>
        </w:tc>
        <w:tc>
          <w:tcPr>
            <w:tcW w:w="1250" w:type="dxa"/>
            <w:vAlign w:val="center"/>
          </w:tcPr>
          <w:p w14:paraId="0CA8B576">
            <w:pPr>
              <w:jc w:val="center"/>
              <w:rPr>
                <w:rFonts w:hint="eastAsia" w:ascii="仿宋" w:hAnsi="仿宋" w:eastAsia="仿宋"/>
                <w:bCs/>
                <w:szCs w:val="21"/>
              </w:rPr>
            </w:pPr>
            <w:r>
              <w:rPr>
                <w:rFonts w:hint="eastAsia" w:ascii="仿宋" w:hAnsi="仿宋" w:eastAsia="仿宋"/>
                <w:bCs/>
                <w:szCs w:val="21"/>
              </w:rPr>
              <w:t xml:space="preserve">11,000.00 </w:t>
            </w:r>
          </w:p>
        </w:tc>
        <w:tc>
          <w:tcPr>
            <w:tcW w:w="1300" w:type="dxa"/>
            <w:vAlign w:val="center"/>
          </w:tcPr>
          <w:p w14:paraId="51CB1B6D">
            <w:pPr>
              <w:jc w:val="center"/>
              <w:rPr>
                <w:rFonts w:hint="eastAsia" w:ascii="仿宋" w:hAnsi="仿宋" w:eastAsia="仿宋"/>
                <w:bCs/>
                <w:szCs w:val="21"/>
              </w:rPr>
            </w:pPr>
            <w:r>
              <w:rPr>
                <w:rFonts w:hint="eastAsia" w:ascii="仿宋" w:hAnsi="仿宋" w:eastAsia="仿宋"/>
                <w:bCs/>
                <w:szCs w:val="21"/>
              </w:rPr>
              <w:t>396.46</w:t>
            </w:r>
          </w:p>
        </w:tc>
        <w:tc>
          <w:tcPr>
            <w:tcW w:w="1296" w:type="dxa"/>
            <w:vAlign w:val="center"/>
          </w:tcPr>
          <w:p w14:paraId="355D9632">
            <w:pPr>
              <w:jc w:val="center"/>
              <w:rPr>
                <w:rFonts w:hint="eastAsia" w:ascii="仿宋" w:hAnsi="仿宋" w:eastAsia="仿宋"/>
                <w:bCs/>
                <w:szCs w:val="21"/>
              </w:rPr>
            </w:pPr>
            <w:r>
              <w:rPr>
                <w:rFonts w:hint="eastAsia" w:ascii="仿宋" w:hAnsi="仿宋" w:eastAsia="仿宋"/>
                <w:bCs/>
                <w:szCs w:val="21"/>
              </w:rPr>
              <w:t xml:space="preserve"> 9,138.06 </w:t>
            </w:r>
          </w:p>
        </w:tc>
      </w:tr>
      <w:tr w14:paraId="37C3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129" w:type="dxa"/>
            <w:vAlign w:val="center"/>
          </w:tcPr>
          <w:p w14:paraId="29B1C61F">
            <w:pPr>
              <w:widowControl/>
              <w:rPr>
                <w:rFonts w:hint="eastAsia" w:ascii="仿宋" w:hAnsi="仿宋" w:eastAsia="仿宋"/>
                <w:bCs/>
                <w:szCs w:val="21"/>
              </w:rPr>
            </w:pPr>
            <w:r>
              <w:rPr>
                <w:rFonts w:hint="eastAsia" w:ascii="仿宋" w:hAnsi="仿宋" w:eastAsia="仿宋"/>
                <w:bCs/>
                <w:szCs w:val="21"/>
              </w:rPr>
              <w:t>向关联方采购商品</w:t>
            </w:r>
          </w:p>
        </w:tc>
        <w:tc>
          <w:tcPr>
            <w:tcW w:w="1701" w:type="dxa"/>
            <w:vAlign w:val="center"/>
          </w:tcPr>
          <w:p w14:paraId="03E568C5">
            <w:pPr>
              <w:rPr>
                <w:rFonts w:hint="eastAsia" w:ascii="仿宋" w:hAnsi="仿宋" w:eastAsia="仿宋"/>
                <w:bCs/>
                <w:szCs w:val="21"/>
              </w:rPr>
            </w:pPr>
            <w:r>
              <w:rPr>
                <w:rFonts w:hint="eastAsia" w:ascii="仿宋" w:hAnsi="仿宋" w:eastAsia="仿宋"/>
                <w:szCs w:val="21"/>
              </w:rPr>
              <w:t>保利集团控制的企业（含</w:t>
            </w:r>
            <w:r>
              <w:rPr>
                <w:rFonts w:hint="eastAsia" w:ascii="仿宋" w:hAnsi="仿宋" w:eastAsia="仿宋"/>
                <w:bCs/>
                <w:szCs w:val="21"/>
              </w:rPr>
              <w:t>其他受控股股东保利久联控制的关联企业</w:t>
            </w:r>
            <w:r>
              <w:rPr>
                <w:rFonts w:hint="eastAsia" w:ascii="仿宋" w:hAnsi="仿宋" w:eastAsia="仿宋"/>
                <w:szCs w:val="21"/>
              </w:rPr>
              <w:t>）</w:t>
            </w:r>
          </w:p>
        </w:tc>
        <w:tc>
          <w:tcPr>
            <w:tcW w:w="1125" w:type="dxa"/>
            <w:vAlign w:val="center"/>
          </w:tcPr>
          <w:p w14:paraId="576040D4">
            <w:pPr>
              <w:jc w:val="center"/>
              <w:rPr>
                <w:rFonts w:hint="eastAsia" w:ascii="仿宋" w:hAnsi="仿宋" w:eastAsia="仿宋"/>
                <w:bCs/>
                <w:szCs w:val="21"/>
              </w:rPr>
            </w:pPr>
            <w:r>
              <w:rPr>
                <w:rFonts w:hint="eastAsia" w:ascii="仿宋" w:hAnsi="仿宋" w:eastAsia="仿宋"/>
                <w:bCs/>
                <w:szCs w:val="21"/>
              </w:rPr>
              <w:t>购买商品</w:t>
            </w:r>
          </w:p>
        </w:tc>
        <w:tc>
          <w:tcPr>
            <w:tcW w:w="1271" w:type="dxa"/>
            <w:vAlign w:val="center"/>
          </w:tcPr>
          <w:p w14:paraId="43BA0AB6">
            <w:pPr>
              <w:jc w:val="center"/>
              <w:rPr>
                <w:rFonts w:hint="eastAsia" w:ascii="仿宋" w:hAnsi="仿宋" w:eastAsia="仿宋"/>
                <w:bCs/>
                <w:szCs w:val="21"/>
              </w:rPr>
            </w:pPr>
            <w:r>
              <w:rPr>
                <w:rFonts w:hint="eastAsia" w:ascii="仿宋" w:hAnsi="仿宋" w:eastAsia="仿宋"/>
                <w:bCs/>
                <w:szCs w:val="21"/>
              </w:rPr>
              <w:t>市场定价</w:t>
            </w:r>
          </w:p>
        </w:tc>
        <w:tc>
          <w:tcPr>
            <w:tcW w:w="1250" w:type="dxa"/>
            <w:vAlign w:val="center"/>
          </w:tcPr>
          <w:p w14:paraId="49FC16AB">
            <w:pPr>
              <w:jc w:val="center"/>
              <w:rPr>
                <w:rFonts w:hint="eastAsia" w:ascii="仿宋" w:hAnsi="仿宋" w:eastAsia="仿宋"/>
                <w:bCs/>
                <w:szCs w:val="21"/>
              </w:rPr>
            </w:pPr>
            <w:r>
              <w:rPr>
                <w:rFonts w:hint="eastAsia" w:ascii="仿宋" w:hAnsi="仿宋" w:eastAsia="仿宋"/>
                <w:bCs/>
                <w:szCs w:val="21"/>
              </w:rPr>
              <w:t xml:space="preserve">70,000.00 </w:t>
            </w:r>
          </w:p>
        </w:tc>
        <w:tc>
          <w:tcPr>
            <w:tcW w:w="1300" w:type="dxa"/>
            <w:vAlign w:val="center"/>
          </w:tcPr>
          <w:p w14:paraId="232D21CD">
            <w:pPr>
              <w:jc w:val="center"/>
              <w:rPr>
                <w:rFonts w:hint="eastAsia" w:ascii="仿宋" w:hAnsi="仿宋" w:eastAsia="仿宋"/>
                <w:bCs/>
                <w:szCs w:val="21"/>
              </w:rPr>
            </w:pPr>
            <w:r>
              <w:rPr>
                <w:rFonts w:hint="eastAsia" w:ascii="仿宋" w:hAnsi="仿宋" w:eastAsia="仿宋"/>
                <w:bCs/>
                <w:szCs w:val="21"/>
              </w:rPr>
              <w:t>4331.04</w:t>
            </w:r>
          </w:p>
        </w:tc>
        <w:tc>
          <w:tcPr>
            <w:tcW w:w="1296" w:type="dxa"/>
            <w:vAlign w:val="center"/>
          </w:tcPr>
          <w:p w14:paraId="5A02343D">
            <w:pPr>
              <w:jc w:val="center"/>
              <w:rPr>
                <w:rFonts w:hint="eastAsia" w:ascii="仿宋" w:hAnsi="仿宋" w:eastAsia="仿宋"/>
                <w:bCs/>
                <w:szCs w:val="21"/>
              </w:rPr>
            </w:pPr>
            <w:r>
              <w:rPr>
                <w:rFonts w:hint="eastAsia" w:ascii="仿宋" w:hAnsi="仿宋" w:eastAsia="仿宋"/>
                <w:bCs/>
                <w:szCs w:val="21"/>
              </w:rPr>
              <w:t xml:space="preserve">31,476.78 </w:t>
            </w:r>
          </w:p>
        </w:tc>
      </w:tr>
      <w:tr w14:paraId="73B7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ECDA9B8">
            <w:pPr>
              <w:widowControl/>
              <w:rPr>
                <w:rFonts w:hint="eastAsia" w:ascii="仿宋" w:hAnsi="仿宋" w:eastAsia="仿宋"/>
                <w:bCs/>
                <w:szCs w:val="21"/>
              </w:rPr>
            </w:pPr>
            <w:r>
              <w:rPr>
                <w:rFonts w:hint="eastAsia" w:ascii="仿宋" w:hAnsi="仿宋" w:eastAsia="仿宋"/>
                <w:bCs/>
                <w:szCs w:val="21"/>
              </w:rPr>
              <w:t>向关联方提供劳务、接受关联方劳务</w:t>
            </w:r>
          </w:p>
        </w:tc>
        <w:tc>
          <w:tcPr>
            <w:tcW w:w="1701" w:type="dxa"/>
            <w:vAlign w:val="center"/>
          </w:tcPr>
          <w:p w14:paraId="12698E16">
            <w:pPr>
              <w:rPr>
                <w:rFonts w:hint="eastAsia" w:ascii="仿宋" w:hAnsi="仿宋" w:eastAsia="仿宋"/>
                <w:bCs/>
                <w:szCs w:val="21"/>
              </w:rPr>
            </w:pPr>
            <w:r>
              <w:rPr>
                <w:rFonts w:hint="eastAsia" w:ascii="仿宋" w:hAnsi="仿宋" w:eastAsia="仿宋"/>
                <w:szCs w:val="21"/>
              </w:rPr>
              <w:t>保利集团控制的企业（含</w:t>
            </w:r>
            <w:r>
              <w:rPr>
                <w:rFonts w:hint="eastAsia" w:ascii="仿宋" w:hAnsi="仿宋" w:eastAsia="仿宋"/>
                <w:bCs/>
                <w:szCs w:val="21"/>
              </w:rPr>
              <w:t>其他受控股股东保利久联控制的关联企业</w:t>
            </w:r>
            <w:r>
              <w:rPr>
                <w:rFonts w:hint="eastAsia" w:ascii="仿宋" w:hAnsi="仿宋" w:eastAsia="仿宋"/>
                <w:szCs w:val="21"/>
              </w:rPr>
              <w:t>）</w:t>
            </w:r>
          </w:p>
        </w:tc>
        <w:tc>
          <w:tcPr>
            <w:tcW w:w="1125" w:type="dxa"/>
            <w:vAlign w:val="center"/>
          </w:tcPr>
          <w:p w14:paraId="02A9FF67">
            <w:pPr>
              <w:jc w:val="center"/>
              <w:rPr>
                <w:rFonts w:hint="eastAsia" w:ascii="仿宋" w:hAnsi="仿宋" w:eastAsia="仿宋"/>
                <w:bCs/>
                <w:szCs w:val="21"/>
              </w:rPr>
            </w:pPr>
            <w:r>
              <w:rPr>
                <w:rFonts w:hint="eastAsia" w:ascii="仿宋" w:hAnsi="仿宋" w:eastAsia="仿宋"/>
                <w:bCs/>
                <w:szCs w:val="21"/>
              </w:rPr>
              <w:t>提供劳务、接受劳务</w:t>
            </w:r>
          </w:p>
        </w:tc>
        <w:tc>
          <w:tcPr>
            <w:tcW w:w="1271" w:type="dxa"/>
            <w:vAlign w:val="center"/>
          </w:tcPr>
          <w:p w14:paraId="04394EE3">
            <w:pPr>
              <w:jc w:val="center"/>
              <w:rPr>
                <w:rFonts w:hint="eastAsia" w:ascii="仿宋" w:hAnsi="仿宋" w:eastAsia="仿宋"/>
                <w:bCs/>
                <w:szCs w:val="21"/>
              </w:rPr>
            </w:pPr>
            <w:r>
              <w:rPr>
                <w:rFonts w:hint="eastAsia" w:ascii="仿宋" w:hAnsi="仿宋" w:eastAsia="仿宋"/>
                <w:bCs/>
                <w:szCs w:val="21"/>
              </w:rPr>
              <w:t>市场定价</w:t>
            </w:r>
          </w:p>
        </w:tc>
        <w:tc>
          <w:tcPr>
            <w:tcW w:w="1250" w:type="dxa"/>
            <w:vAlign w:val="center"/>
          </w:tcPr>
          <w:p w14:paraId="35F521A0">
            <w:pPr>
              <w:jc w:val="center"/>
              <w:rPr>
                <w:rFonts w:hint="eastAsia" w:ascii="仿宋" w:hAnsi="仿宋" w:eastAsia="仿宋"/>
                <w:bCs/>
                <w:szCs w:val="21"/>
              </w:rPr>
            </w:pPr>
            <w:r>
              <w:rPr>
                <w:rFonts w:hint="eastAsia" w:ascii="仿宋" w:hAnsi="仿宋" w:eastAsia="仿宋"/>
                <w:bCs/>
                <w:szCs w:val="21"/>
              </w:rPr>
              <w:t xml:space="preserve">11,000.00 </w:t>
            </w:r>
          </w:p>
        </w:tc>
        <w:tc>
          <w:tcPr>
            <w:tcW w:w="1300" w:type="dxa"/>
            <w:vAlign w:val="center"/>
          </w:tcPr>
          <w:p w14:paraId="1A50AB37">
            <w:pPr>
              <w:jc w:val="center"/>
              <w:rPr>
                <w:rFonts w:hint="eastAsia" w:ascii="仿宋" w:hAnsi="仿宋" w:eastAsia="仿宋"/>
                <w:bCs/>
                <w:szCs w:val="21"/>
              </w:rPr>
            </w:pPr>
            <w:r>
              <w:rPr>
                <w:rFonts w:hint="eastAsia" w:ascii="仿宋" w:hAnsi="仿宋" w:eastAsia="仿宋"/>
                <w:bCs/>
                <w:szCs w:val="21"/>
              </w:rPr>
              <w:t>1590.64</w:t>
            </w:r>
          </w:p>
        </w:tc>
        <w:tc>
          <w:tcPr>
            <w:tcW w:w="1296" w:type="dxa"/>
            <w:vAlign w:val="center"/>
          </w:tcPr>
          <w:p w14:paraId="535AC013">
            <w:pPr>
              <w:jc w:val="center"/>
              <w:rPr>
                <w:rFonts w:hint="eastAsia" w:ascii="仿宋" w:hAnsi="仿宋" w:eastAsia="仿宋"/>
                <w:bCs/>
                <w:szCs w:val="21"/>
              </w:rPr>
            </w:pPr>
            <w:r>
              <w:rPr>
                <w:rFonts w:hint="eastAsia" w:ascii="仿宋" w:hAnsi="仿宋" w:eastAsia="仿宋"/>
                <w:bCs/>
                <w:szCs w:val="21"/>
              </w:rPr>
              <w:t xml:space="preserve">22,566.70 </w:t>
            </w:r>
          </w:p>
        </w:tc>
      </w:tr>
      <w:tr w14:paraId="2C36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1277327">
            <w:pPr>
              <w:widowControl/>
              <w:rPr>
                <w:rFonts w:hint="eastAsia" w:ascii="仿宋" w:hAnsi="仿宋" w:eastAsia="仿宋"/>
                <w:bCs/>
                <w:szCs w:val="21"/>
              </w:rPr>
            </w:pPr>
            <w:r>
              <w:rPr>
                <w:rFonts w:hint="eastAsia" w:ascii="仿宋" w:hAnsi="仿宋" w:eastAsia="仿宋"/>
                <w:bCs/>
                <w:szCs w:val="21"/>
              </w:rPr>
              <w:t>向关联方提供租赁、接受关联方租赁</w:t>
            </w:r>
          </w:p>
        </w:tc>
        <w:tc>
          <w:tcPr>
            <w:tcW w:w="1701" w:type="dxa"/>
            <w:vAlign w:val="center"/>
          </w:tcPr>
          <w:p w14:paraId="0C221292">
            <w:pPr>
              <w:rPr>
                <w:rFonts w:hint="eastAsia" w:ascii="仿宋" w:hAnsi="仿宋" w:eastAsia="仿宋"/>
                <w:bCs/>
                <w:szCs w:val="21"/>
              </w:rPr>
            </w:pPr>
            <w:r>
              <w:rPr>
                <w:rFonts w:hint="eastAsia" w:ascii="仿宋" w:hAnsi="仿宋" w:eastAsia="仿宋"/>
                <w:szCs w:val="21"/>
              </w:rPr>
              <w:t>保利集团控制的企业（含</w:t>
            </w:r>
            <w:r>
              <w:rPr>
                <w:rFonts w:hint="eastAsia" w:ascii="仿宋" w:hAnsi="仿宋" w:eastAsia="仿宋"/>
                <w:bCs/>
                <w:szCs w:val="21"/>
              </w:rPr>
              <w:t>其他受控股股东保利久联控制的关联企业</w:t>
            </w:r>
            <w:r>
              <w:rPr>
                <w:rFonts w:hint="eastAsia" w:ascii="仿宋" w:hAnsi="仿宋" w:eastAsia="仿宋"/>
                <w:szCs w:val="21"/>
              </w:rPr>
              <w:t>）</w:t>
            </w:r>
          </w:p>
        </w:tc>
        <w:tc>
          <w:tcPr>
            <w:tcW w:w="1125" w:type="dxa"/>
            <w:vAlign w:val="center"/>
          </w:tcPr>
          <w:p w14:paraId="7C6975D8">
            <w:pPr>
              <w:jc w:val="center"/>
              <w:rPr>
                <w:rFonts w:hint="eastAsia" w:ascii="仿宋" w:hAnsi="仿宋" w:eastAsia="仿宋"/>
                <w:bCs/>
                <w:szCs w:val="21"/>
              </w:rPr>
            </w:pPr>
            <w:r>
              <w:rPr>
                <w:rFonts w:hint="eastAsia" w:ascii="仿宋" w:hAnsi="仿宋" w:eastAsia="仿宋" w:cs="仿宋"/>
                <w:bCs/>
                <w:szCs w:val="21"/>
              </w:rPr>
              <w:t>提供租赁、接受租赁</w:t>
            </w:r>
          </w:p>
        </w:tc>
        <w:tc>
          <w:tcPr>
            <w:tcW w:w="1271" w:type="dxa"/>
            <w:vAlign w:val="center"/>
          </w:tcPr>
          <w:p w14:paraId="69F98193">
            <w:pPr>
              <w:jc w:val="center"/>
              <w:rPr>
                <w:rFonts w:hint="eastAsia" w:ascii="仿宋" w:hAnsi="仿宋" w:eastAsia="仿宋"/>
                <w:bCs/>
                <w:szCs w:val="21"/>
              </w:rPr>
            </w:pPr>
            <w:r>
              <w:rPr>
                <w:rFonts w:hint="eastAsia" w:ascii="仿宋" w:hAnsi="仿宋" w:eastAsia="仿宋"/>
                <w:bCs/>
                <w:szCs w:val="21"/>
              </w:rPr>
              <w:t>市场定价</w:t>
            </w:r>
          </w:p>
        </w:tc>
        <w:tc>
          <w:tcPr>
            <w:tcW w:w="1250" w:type="dxa"/>
            <w:vAlign w:val="center"/>
          </w:tcPr>
          <w:p w14:paraId="7EA09847">
            <w:pPr>
              <w:jc w:val="center"/>
              <w:rPr>
                <w:rFonts w:hint="eastAsia" w:ascii="仿宋" w:hAnsi="仿宋" w:eastAsia="仿宋"/>
                <w:bCs/>
                <w:szCs w:val="21"/>
              </w:rPr>
            </w:pPr>
            <w:r>
              <w:rPr>
                <w:rFonts w:hint="eastAsia" w:ascii="仿宋" w:hAnsi="仿宋" w:eastAsia="仿宋"/>
                <w:bCs/>
                <w:szCs w:val="21"/>
              </w:rPr>
              <w:t xml:space="preserve"> 1,500.00 </w:t>
            </w:r>
          </w:p>
        </w:tc>
        <w:tc>
          <w:tcPr>
            <w:tcW w:w="1300" w:type="dxa"/>
            <w:vAlign w:val="center"/>
          </w:tcPr>
          <w:p w14:paraId="59D5FA4A">
            <w:pPr>
              <w:jc w:val="center"/>
              <w:rPr>
                <w:rFonts w:hint="eastAsia" w:ascii="仿宋" w:hAnsi="仿宋" w:eastAsia="仿宋"/>
                <w:bCs/>
                <w:szCs w:val="21"/>
              </w:rPr>
            </w:pPr>
            <w:r>
              <w:rPr>
                <w:rFonts w:hint="eastAsia" w:ascii="仿宋" w:hAnsi="仿宋" w:eastAsia="仿宋"/>
                <w:bCs/>
                <w:szCs w:val="21"/>
              </w:rPr>
              <w:t>118.65</w:t>
            </w:r>
          </w:p>
        </w:tc>
        <w:tc>
          <w:tcPr>
            <w:tcW w:w="1296" w:type="dxa"/>
            <w:vAlign w:val="center"/>
          </w:tcPr>
          <w:p w14:paraId="665B9C22">
            <w:pPr>
              <w:jc w:val="center"/>
              <w:rPr>
                <w:rFonts w:hint="eastAsia" w:ascii="仿宋" w:hAnsi="仿宋" w:eastAsia="仿宋"/>
                <w:bCs/>
                <w:szCs w:val="21"/>
              </w:rPr>
            </w:pPr>
            <w:r>
              <w:rPr>
                <w:rFonts w:hint="eastAsia" w:ascii="仿宋" w:hAnsi="仿宋" w:eastAsia="仿宋"/>
                <w:bCs/>
                <w:szCs w:val="21"/>
              </w:rPr>
              <w:t xml:space="preserve"> 1,123.17 </w:t>
            </w:r>
          </w:p>
        </w:tc>
      </w:tr>
      <w:tr w14:paraId="7B1C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26" w:type="dxa"/>
            <w:gridSpan w:val="4"/>
            <w:vAlign w:val="center"/>
          </w:tcPr>
          <w:p w14:paraId="019544FB">
            <w:pPr>
              <w:jc w:val="center"/>
              <w:rPr>
                <w:rFonts w:hint="eastAsia" w:ascii="仿宋" w:hAnsi="仿宋" w:eastAsia="仿宋"/>
                <w:b/>
                <w:szCs w:val="21"/>
              </w:rPr>
            </w:pPr>
            <w:r>
              <w:rPr>
                <w:rFonts w:hint="eastAsia" w:ascii="仿宋" w:hAnsi="仿宋" w:eastAsia="仿宋"/>
                <w:b/>
                <w:szCs w:val="21"/>
              </w:rPr>
              <w:t>合计</w:t>
            </w:r>
          </w:p>
        </w:tc>
        <w:tc>
          <w:tcPr>
            <w:tcW w:w="1250" w:type="dxa"/>
            <w:vAlign w:val="center"/>
          </w:tcPr>
          <w:p w14:paraId="5F41F75A">
            <w:pPr>
              <w:jc w:val="center"/>
              <w:rPr>
                <w:rFonts w:hint="eastAsia" w:ascii="仿宋" w:hAnsi="仿宋" w:eastAsia="仿宋"/>
                <w:bCs/>
                <w:szCs w:val="21"/>
              </w:rPr>
            </w:pPr>
            <w:r>
              <w:rPr>
                <w:rFonts w:hint="eastAsia" w:ascii="仿宋" w:hAnsi="仿宋" w:eastAsia="仿宋"/>
                <w:bCs/>
                <w:szCs w:val="21"/>
              </w:rPr>
              <w:t>93,500</w:t>
            </w:r>
          </w:p>
        </w:tc>
        <w:tc>
          <w:tcPr>
            <w:tcW w:w="1300" w:type="dxa"/>
            <w:vAlign w:val="center"/>
          </w:tcPr>
          <w:p w14:paraId="51638F70">
            <w:pPr>
              <w:jc w:val="center"/>
              <w:rPr>
                <w:rFonts w:hint="eastAsia" w:ascii="仿宋" w:hAnsi="仿宋" w:eastAsia="仿宋"/>
                <w:bCs/>
                <w:szCs w:val="21"/>
              </w:rPr>
            </w:pPr>
            <w:r>
              <w:rPr>
                <w:rFonts w:hint="eastAsia" w:ascii="仿宋" w:hAnsi="仿宋" w:eastAsia="仿宋"/>
                <w:bCs/>
                <w:szCs w:val="21"/>
              </w:rPr>
              <w:t xml:space="preserve">6,436.79 </w:t>
            </w:r>
          </w:p>
        </w:tc>
        <w:tc>
          <w:tcPr>
            <w:tcW w:w="1296" w:type="dxa"/>
            <w:vAlign w:val="center"/>
          </w:tcPr>
          <w:p w14:paraId="5DFCBDB7">
            <w:pPr>
              <w:jc w:val="center"/>
              <w:rPr>
                <w:rFonts w:hint="eastAsia" w:ascii="仿宋" w:hAnsi="仿宋" w:eastAsia="仿宋"/>
                <w:bCs/>
                <w:szCs w:val="21"/>
              </w:rPr>
            </w:pPr>
            <w:r>
              <w:rPr>
                <w:rFonts w:hint="eastAsia" w:ascii="仿宋" w:hAnsi="仿宋" w:eastAsia="仿宋"/>
                <w:bCs/>
                <w:szCs w:val="21"/>
              </w:rPr>
              <w:t xml:space="preserve">64,304.71 </w:t>
            </w:r>
          </w:p>
        </w:tc>
      </w:tr>
    </w:tbl>
    <w:p w14:paraId="72071113">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公司预计的日常关联交易的交易对方均为受同一实际控制人（保利集团）控制的关联方，包括其他受控股股东保利久联控制的关联企业。</w:t>
      </w:r>
    </w:p>
    <w:p w14:paraId="4FBF2EF8">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其中，预计与单</w:t>
      </w:r>
      <w:bookmarkStart w:id="0" w:name="_GoBack"/>
      <w:r>
        <w:rPr>
          <w:rFonts w:hint="eastAsia" w:ascii="仿宋" w:hAnsi="仿宋" w:eastAsia="仿宋" w:cs="Times New Roman"/>
          <w:sz w:val="32"/>
          <w:szCs w:val="32"/>
          <w:highlight w:val="none"/>
        </w:rPr>
        <w:t>一关联人</w:t>
      </w:r>
      <w:r>
        <w:rPr>
          <w:rFonts w:hint="eastAsia" w:ascii="仿宋" w:hAnsi="仿宋" w:eastAsia="仿宋" w:cs="Times New Roman"/>
          <w:sz w:val="32"/>
          <w:szCs w:val="32"/>
          <w:highlight w:val="none"/>
          <w:lang w:val="en-US" w:eastAsia="zh-CN"/>
        </w:rPr>
        <w:t>单笔</w:t>
      </w:r>
      <w:r>
        <w:rPr>
          <w:rFonts w:hint="eastAsia" w:ascii="仿宋" w:hAnsi="仿宋" w:eastAsia="仿宋" w:cs="Times New Roman"/>
          <w:sz w:val="32"/>
          <w:szCs w:val="32"/>
          <w:highlight w:val="none"/>
        </w:rPr>
        <w:t>发</w:t>
      </w:r>
      <w:bookmarkEnd w:id="0"/>
      <w:r>
        <w:rPr>
          <w:rFonts w:hint="eastAsia" w:ascii="仿宋" w:hAnsi="仿宋" w:eastAsia="仿宋" w:cs="Times New Roman"/>
          <w:sz w:val="32"/>
          <w:szCs w:val="32"/>
        </w:rPr>
        <w:t>生交易金额在300万以上且达到上市公司上一年度经审计净资产0.5%的具体情况如下：</w:t>
      </w:r>
    </w:p>
    <w:p w14:paraId="070C4A59">
      <w:pPr>
        <w:widowControl/>
        <w:ind w:firstLine="640" w:firstLineChars="200"/>
        <w:jc w:val="left"/>
        <w:rPr>
          <w:rFonts w:hint="eastAsia" w:ascii="仿宋" w:hAnsi="仿宋" w:eastAsia="仿宋" w:cs="Times New Roman"/>
          <w:sz w:val="32"/>
          <w:szCs w:val="32"/>
        </w:rPr>
      </w:pPr>
    </w:p>
    <w:p w14:paraId="2B2B1F1D">
      <w:pPr>
        <w:widowControl/>
        <w:ind w:firstLine="640" w:firstLineChars="200"/>
        <w:jc w:val="left"/>
        <w:rPr>
          <w:rFonts w:hint="eastAsia" w:ascii="仿宋" w:hAnsi="仿宋" w:eastAsia="仿宋" w:cs="Times New Roman"/>
          <w:sz w:val="32"/>
          <w:szCs w:val="32"/>
        </w:rPr>
      </w:pPr>
    </w:p>
    <w:tbl>
      <w:tblPr>
        <w:tblStyle w:val="6"/>
        <w:tblW w:w="93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2"/>
        <w:gridCol w:w="1315"/>
        <w:gridCol w:w="912"/>
        <w:gridCol w:w="1418"/>
        <w:gridCol w:w="1636"/>
        <w:gridCol w:w="1855"/>
        <w:gridCol w:w="1241"/>
      </w:tblGrid>
      <w:tr w14:paraId="3386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ADEA30">
            <w:pPr>
              <w:jc w:val="center"/>
              <w:rPr>
                <w:rFonts w:hint="eastAsia" w:ascii="仿宋" w:hAnsi="仿宋" w:eastAsia="仿宋"/>
                <w:b/>
                <w:szCs w:val="21"/>
              </w:rPr>
            </w:pPr>
            <w:r>
              <w:rPr>
                <w:rFonts w:hint="eastAsia" w:ascii="仿宋" w:hAnsi="仿宋" w:eastAsia="仿宋"/>
                <w:b/>
                <w:szCs w:val="21"/>
                <w:lang w:val="en-US" w:eastAsia="zh-CN"/>
              </w:rPr>
              <w:t>关联交易类别</w:t>
            </w:r>
          </w:p>
        </w:tc>
        <w:tc>
          <w:tcPr>
            <w:tcW w:w="1315" w:type="dxa"/>
            <w:vMerge w:val="restart"/>
            <w:tcBorders>
              <w:top w:val="single" w:color="000000" w:sz="8" w:space="0"/>
              <w:left w:val="nil"/>
              <w:bottom w:val="single" w:color="000000" w:sz="8" w:space="0"/>
              <w:right w:val="single" w:color="000000" w:sz="8" w:space="0"/>
            </w:tcBorders>
            <w:shd w:val="clear" w:color="auto" w:fill="auto"/>
            <w:vAlign w:val="center"/>
          </w:tcPr>
          <w:p w14:paraId="107F486E">
            <w:pPr>
              <w:jc w:val="center"/>
              <w:rPr>
                <w:rFonts w:hint="eastAsia" w:ascii="仿宋" w:hAnsi="仿宋" w:eastAsia="仿宋"/>
                <w:b/>
                <w:szCs w:val="21"/>
              </w:rPr>
            </w:pPr>
            <w:r>
              <w:rPr>
                <w:rFonts w:hint="eastAsia" w:ascii="仿宋" w:hAnsi="仿宋" w:eastAsia="仿宋"/>
                <w:b/>
                <w:szCs w:val="21"/>
                <w:lang w:val="en-US" w:eastAsia="zh-CN"/>
              </w:rPr>
              <w:t>关联人</w:t>
            </w:r>
          </w:p>
        </w:tc>
        <w:tc>
          <w:tcPr>
            <w:tcW w:w="912" w:type="dxa"/>
            <w:vMerge w:val="restart"/>
            <w:tcBorders>
              <w:top w:val="single" w:color="000000" w:sz="8" w:space="0"/>
              <w:left w:val="nil"/>
              <w:bottom w:val="single" w:color="000000" w:sz="8" w:space="0"/>
              <w:right w:val="single" w:color="000000" w:sz="8" w:space="0"/>
            </w:tcBorders>
            <w:shd w:val="clear" w:color="auto" w:fill="auto"/>
            <w:vAlign w:val="center"/>
          </w:tcPr>
          <w:p w14:paraId="107E70D5">
            <w:pPr>
              <w:jc w:val="center"/>
              <w:rPr>
                <w:rFonts w:hint="eastAsia" w:ascii="仿宋" w:hAnsi="仿宋" w:eastAsia="仿宋"/>
                <w:b/>
                <w:szCs w:val="21"/>
              </w:rPr>
            </w:pPr>
            <w:r>
              <w:rPr>
                <w:rFonts w:hint="eastAsia" w:ascii="仿宋" w:hAnsi="仿宋" w:eastAsia="仿宋"/>
                <w:b/>
                <w:szCs w:val="21"/>
                <w:lang w:val="en-US" w:eastAsia="zh-CN"/>
              </w:rPr>
              <w:t>关联交易内容</w:t>
            </w:r>
          </w:p>
        </w:tc>
        <w:tc>
          <w:tcPr>
            <w:tcW w:w="1418" w:type="dxa"/>
            <w:vMerge w:val="restart"/>
            <w:tcBorders>
              <w:top w:val="single" w:color="000000" w:sz="8" w:space="0"/>
              <w:left w:val="nil"/>
              <w:bottom w:val="single" w:color="000000" w:sz="8" w:space="0"/>
              <w:right w:val="single" w:color="000000" w:sz="8" w:space="0"/>
            </w:tcBorders>
            <w:shd w:val="clear" w:color="auto" w:fill="auto"/>
            <w:vAlign w:val="center"/>
          </w:tcPr>
          <w:p w14:paraId="4A5BB2F6">
            <w:pPr>
              <w:jc w:val="center"/>
              <w:rPr>
                <w:rFonts w:hint="eastAsia" w:ascii="仿宋" w:hAnsi="仿宋" w:eastAsia="仿宋"/>
                <w:b/>
                <w:szCs w:val="21"/>
              </w:rPr>
            </w:pPr>
            <w:r>
              <w:rPr>
                <w:rFonts w:hint="eastAsia" w:ascii="仿宋" w:hAnsi="仿宋" w:eastAsia="仿宋"/>
                <w:b/>
                <w:szCs w:val="21"/>
                <w:lang w:val="en-US" w:eastAsia="zh-CN"/>
              </w:rPr>
              <w:t>关联交易定价原则</w:t>
            </w:r>
          </w:p>
        </w:tc>
        <w:tc>
          <w:tcPr>
            <w:tcW w:w="1636" w:type="dxa"/>
            <w:vMerge w:val="restart"/>
            <w:tcBorders>
              <w:top w:val="single" w:color="000000" w:sz="8" w:space="0"/>
              <w:left w:val="nil"/>
              <w:bottom w:val="single" w:color="000000" w:sz="8" w:space="0"/>
              <w:right w:val="single" w:color="000000" w:sz="8" w:space="0"/>
            </w:tcBorders>
            <w:shd w:val="clear" w:color="auto" w:fill="auto"/>
            <w:vAlign w:val="center"/>
          </w:tcPr>
          <w:p w14:paraId="14422F88">
            <w:pPr>
              <w:jc w:val="center"/>
              <w:rPr>
                <w:rFonts w:hint="eastAsia" w:ascii="仿宋" w:hAnsi="仿宋" w:eastAsia="仿宋"/>
                <w:b/>
                <w:szCs w:val="21"/>
              </w:rPr>
            </w:pPr>
            <w:r>
              <w:rPr>
                <w:rFonts w:hint="eastAsia" w:ascii="仿宋" w:hAnsi="仿宋" w:eastAsia="仿宋"/>
                <w:b/>
                <w:szCs w:val="21"/>
                <w:lang w:val="en-US" w:eastAsia="zh-CN"/>
              </w:rPr>
              <w:t>2026年预计交易金额（万元）</w:t>
            </w:r>
          </w:p>
        </w:tc>
        <w:tc>
          <w:tcPr>
            <w:tcW w:w="1855" w:type="dxa"/>
            <w:vMerge w:val="restart"/>
            <w:tcBorders>
              <w:top w:val="single" w:color="000000" w:sz="8" w:space="0"/>
              <w:left w:val="nil"/>
              <w:bottom w:val="single" w:color="000000" w:sz="8" w:space="0"/>
              <w:right w:val="single" w:color="000000" w:sz="8" w:space="0"/>
            </w:tcBorders>
            <w:shd w:val="clear" w:color="auto" w:fill="auto"/>
            <w:vAlign w:val="center"/>
          </w:tcPr>
          <w:p w14:paraId="3551311D">
            <w:pPr>
              <w:jc w:val="center"/>
              <w:rPr>
                <w:rFonts w:hint="eastAsia" w:ascii="仿宋" w:hAnsi="仿宋" w:eastAsia="仿宋"/>
                <w:b/>
                <w:szCs w:val="21"/>
              </w:rPr>
            </w:pPr>
            <w:r>
              <w:rPr>
                <w:rFonts w:hint="eastAsia" w:ascii="仿宋" w:hAnsi="仿宋" w:eastAsia="仿宋"/>
                <w:b/>
                <w:szCs w:val="21"/>
                <w:lang w:val="en-US" w:eastAsia="zh-CN"/>
              </w:rPr>
              <w:t xml:space="preserve"> 截至披露日已发生金额（万元） </w:t>
            </w:r>
          </w:p>
        </w:tc>
        <w:tc>
          <w:tcPr>
            <w:tcW w:w="1241" w:type="dxa"/>
            <w:vMerge w:val="restart"/>
            <w:tcBorders>
              <w:top w:val="single" w:color="000000" w:sz="8" w:space="0"/>
              <w:left w:val="nil"/>
              <w:bottom w:val="single" w:color="000000" w:sz="8" w:space="0"/>
              <w:right w:val="single" w:color="000000" w:sz="8" w:space="0"/>
            </w:tcBorders>
            <w:shd w:val="clear" w:color="auto" w:fill="auto"/>
            <w:vAlign w:val="center"/>
          </w:tcPr>
          <w:p w14:paraId="5D71CBCA">
            <w:pPr>
              <w:jc w:val="center"/>
              <w:rPr>
                <w:rFonts w:hint="eastAsia" w:ascii="仿宋" w:hAnsi="仿宋" w:eastAsia="仿宋"/>
                <w:b/>
                <w:szCs w:val="21"/>
              </w:rPr>
            </w:pPr>
            <w:r>
              <w:rPr>
                <w:rFonts w:hint="eastAsia" w:ascii="仿宋" w:hAnsi="仿宋" w:eastAsia="仿宋"/>
                <w:b/>
                <w:szCs w:val="21"/>
                <w:lang w:val="en-US" w:eastAsia="zh-CN"/>
              </w:rPr>
              <w:t>上年发生金额（万元）</w:t>
            </w:r>
          </w:p>
        </w:tc>
      </w:tr>
      <w:tr w14:paraId="2BAF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701DC5">
            <w:pPr>
              <w:jc w:val="center"/>
              <w:rPr>
                <w:rFonts w:hint="eastAsia" w:ascii="仿宋" w:hAnsi="仿宋" w:eastAsia="仿宋" w:cstheme="minorBidi"/>
                <w:bCs/>
                <w:kern w:val="2"/>
                <w:sz w:val="21"/>
                <w:szCs w:val="21"/>
                <w:lang w:val="en-US" w:eastAsia="zh-CN" w:bidi="ar-SA"/>
              </w:rPr>
            </w:pPr>
          </w:p>
        </w:tc>
        <w:tc>
          <w:tcPr>
            <w:tcW w:w="1315" w:type="dxa"/>
            <w:vMerge w:val="continue"/>
            <w:tcBorders>
              <w:top w:val="single" w:color="000000" w:sz="8" w:space="0"/>
              <w:left w:val="nil"/>
              <w:bottom w:val="single" w:color="000000" w:sz="8" w:space="0"/>
              <w:right w:val="single" w:color="000000" w:sz="8" w:space="0"/>
            </w:tcBorders>
            <w:shd w:val="clear" w:color="auto" w:fill="auto"/>
            <w:vAlign w:val="center"/>
          </w:tcPr>
          <w:p w14:paraId="46D9B90B">
            <w:pPr>
              <w:jc w:val="center"/>
              <w:rPr>
                <w:rFonts w:hint="eastAsia" w:ascii="仿宋" w:hAnsi="仿宋" w:eastAsia="仿宋" w:cstheme="minorBidi"/>
                <w:bCs/>
                <w:kern w:val="2"/>
                <w:sz w:val="21"/>
                <w:szCs w:val="21"/>
                <w:lang w:val="en-US" w:eastAsia="zh-CN" w:bidi="ar-SA"/>
              </w:rPr>
            </w:pPr>
          </w:p>
        </w:tc>
        <w:tc>
          <w:tcPr>
            <w:tcW w:w="912" w:type="dxa"/>
            <w:vMerge w:val="continue"/>
            <w:tcBorders>
              <w:top w:val="single" w:color="000000" w:sz="8" w:space="0"/>
              <w:left w:val="nil"/>
              <w:bottom w:val="single" w:color="000000" w:sz="8" w:space="0"/>
              <w:right w:val="single" w:color="000000" w:sz="8" w:space="0"/>
            </w:tcBorders>
            <w:shd w:val="clear" w:color="auto" w:fill="auto"/>
            <w:vAlign w:val="center"/>
          </w:tcPr>
          <w:p w14:paraId="33C969D0">
            <w:pPr>
              <w:jc w:val="center"/>
              <w:rPr>
                <w:rFonts w:hint="eastAsia" w:ascii="仿宋" w:hAnsi="仿宋" w:eastAsia="仿宋" w:cstheme="minorBidi"/>
                <w:bCs/>
                <w:kern w:val="2"/>
                <w:sz w:val="21"/>
                <w:szCs w:val="21"/>
                <w:lang w:val="en-US" w:eastAsia="zh-CN" w:bidi="ar-SA"/>
              </w:rPr>
            </w:pPr>
          </w:p>
        </w:tc>
        <w:tc>
          <w:tcPr>
            <w:tcW w:w="1418" w:type="dxa"/>
            <w:vMerge w:val="continue"/>
            <w:tcBorders>
              <w:top w:val="single" w:color="000000" w:sz="8" w:space="0"/>
              <w:left w:val="nil"/>
              <w:bottom w:val="single" w:color="000000" w:sz="8" w:space="0"/>
              <w:right w:val="single" w:color="000000" w:sz="8" w:space="0"/>
            </w:tcBorders>
            <w:shd w:val="clear" w:color="auto" w:fill="auto"/>
            <w:vAlign w:val="center"/>
          </w:tcPr>
          <w:p w14:paraId="0BFFF020">
            <w:pPr>
              <w:jc w:val="center"/>
              <w:rPr>
                <w:rFonts w:hint="eastAsia" w:ascii="仿宋" w:hAnsi="仿宋" w:eastAsia="仿宋" w:cstheme="minorBidi"/>
                <w:bCs/>
                <w:kern w:val="2"/>
                <w:sz w:val="21"/>
                <w:szCs w:val="21"/>
                <w:lang w:val="en-US" w:eastAsia="zh-CN" w:bidi="ar-SA"/>
              </w:rPr>
            </w:pPr>
          </w:p>
        </w:tc>
        <w:tc>
          <w:tcPr>
            <w:tcW w:w="1636" w:type="dxa"/>
            <w:vMerge w:val="continue"/>
            <w:tcBorders>
              <w:top w:val="single" w:color="000000" w:sz="8" w:space="0"/>
              <w:left w:val="nil"/>
              <w:bottom w:val="single" w:color="000000" w:sz="8" w:space="0"/>
              <w:right w:val="single" w:color="000000" w:sz="8" w:space="0"/>
            </w:tcBorders>
            <w:shd w:val="clear" w:color="auto" w:fill="auto"/>
            <w:vAlign w:val="center"/>
          </w:tcPr>
          <w:p w14:paraId="25A5591C">
            <w:pPr>
              <w:jc w:val="center"/>
              <w:rPr>
                <w:rFonts w:hint="eastAsia" w:ascii="仿宋" w:hAnsi="仿宋" w:eastAsia="仿宋" w:cstheme="minorBidi"/>
                <w:bCs/>
                <w:kern w:val="2"/>
                <w:sz w:val="21"/>
                <w:szCs w:val="21"/>
                <w:lang w:val="en-US" w:eastAsia="zh-CN" w:bidi="ar-SA"/>
              </w:rPr>
            </w:pPr>
          </w:p>
        </w:tc>
        <w:tc>
          <w:tcPr>
            <w:tcW w:w="1855" w:type="dxa"/>
            <w:vMerge w:val="continue"/>
            <w:tcBorders>
              <w:top w:val="single" w:color="000000" w:sz="8" w:space="0"/>
              <w:left w:val="nil"/>
              <w:bottom w:val="single" w:color="000000" w:sz="8" w:space="0"/>
              <w:right w:val="single" w:color="000000" w:sz="8" w:space="0"/>
            </w:tcBorders>
            <w:shd w:val="clear" w:color="auto" w:fill="auto"/>
            <w:vAlign w:val="center"/>
          </w:tcPr>
          <w:p w14:paraId="6BB1660F">
            <w:pPr>
              <w:jc w:val="center"/>
              <w:rPr>
                <w:rFonts w:hint="eastAsia" w:ascii="仿宋" w:hAnsi="仿宋" w:eastAsia="仿宋" w:cstheme="minorBidi"/>
                <w:bCs/>
                <w:kern w:val="2"/>
                <w:sz w:val="21"/>
                <w:szCs w:val="21"/>
                <w:lang w:val="en-US" w:eastAsia="zh-CN" w:bidi="ar-SA"/>
              </w:rPr>
            </w:pPr>
          </w:p>
        </w:tc>
        <w:tc>
          <w:tcPr>
            <w:tcW w:w="1241" w:type="dxa"/>
            <w:vMerge w:val="continue"/>
            <w:tcBorders>
              <w:top w:val="single" w:color="000000" w:sz="8" w:space="0"/>
              <w:left w:val="nil"/>
              <w:bottom w:val="single" w:color="000000" w:sz="8" w:space="0"/>
              <w:right w:val="single" w:color="000000" w:sz="8" w:space="0"/>
            </w:tcBorders>
            <w:shd w:val="clear" w:color="auto" w:fill="auto"/>
            <w:vAlign w:val="center"/>
          </w:tcPr>
          <w:p w14:paraId="045DF98E">
            <w:pPr>
              <w:jc w:val="center"/>
              <w:rPr>
                <w:rFonts w:hint="eastAsia" w:ascii="仿宋" w:hAnsi="仿宋" w:eastAsia="仿宋" w:cstheme="minorBidi"/>
                <w:bCs/>
                <w:kern w:val="2"/>
                <w:sz w:val="21"/>
                <w:szCs w:val="21"/>
                <w:lang w:val="en-US" w:eastAsia="zh-CN" w:bidi="ar-SA"/>
              </w:rPr>
            </w:pPr>
          </w:p>
        </w:tc>
      </w:tr>
      <w:tr w14:paraId="071B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14:paraId="132E227E">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向关联方销售商品</w:t>
            </w:r>
          </w:p>
        </w:tc>
        <w:tc>
          <w:tcPr>
            <w:tcW w:w="1315" w:type="dxa"/>
            <w:tcBorders>
              <w:top w:val="nil"/>
              <w:left w:val="nil"/>
              <w:bottom w:val="single" w:color="000000" w:sz="8" w:space="0"/>
              <w:right w:val="single" w:color="000000" w:sz="8" w:space="0"/>
            </w:tcBorders>
            <w:shd w:val="clear" w:color="auto" w:fill="auto"/>
            <w:vAlign w:val="center"/>
          </w:tcPr>
          <w:p w14:paraId="371F539B">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保利民爆哈密有限公司</w:t>
            </w:r>
          </w:p>
        </w:tc>
        <w:tc>
          <w:tcPr>
            <w:tcW w:w="912" w:type="dxa"/>
            <w:vMerge w:val="restart"/>
            <w:tcBorders>
              <w:top w:val="nil"/>
              <w:left w:val="nil"/>
              <w:bottom w:val="single" w:color="000000" w:sz="8" w:space="0"/>
              <w:right w:val="single" w:color="000000" w:sz="8" w:space="0"/>
            </w:tcBorders>
            <w:shd w:val="clear" w:color="auto" w:fill="auto"/>
            <w:vAlign w:val="center"/>
          </w:tcPr>
          <w:p w14:paraId="47A06429">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销售商品</w:t>
            </w:r>
          </w:p>
        </w:tc>
        <w:tc>
          <w:tcPr>
            <w:tcW w:w="1418" w:type="dxa"/>
            <w:vMerge w:val="restart"/>
            <w:tcBorders>
              <w:top w:val="nil"/>
              <w:left w:val="nil"/>
              <w:bottom w:val="single" w:color="000000" w:sz="8" w:space="0"/>
              <w:right w:val="single" w:color="000000" w:sz="8" w:space="0"/>
            </w:tcBorders>
            <w:shd w:val="clear" w:color="auto" w:fill="auto"/>
            <w:vAlign w:val="center"/>
          </w:tcPr>
          <w:p w14:paraId="79980791">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市场定价</w:t>
            </w:r>
          </w:p>
        </w:tc>
        <w:tc>
          <w:tcPr>
            <w:tcW w:w="1636" w:type="dxa"/>
            <w:tcBorders>
              <w:top w:val="nil"/>
              <w:left w:val="single" w:color="000000" w:sz="8" w:space="0"/>
              <w:bottom w:val="single" w:color="000000" w:sz="8" w:space="0"/>
              <w:right w:val="single" w:color="000000" w:sz="8" w:space="0"/>
            </w:tcBorders>
            <w:shd w:val="clear" w:color="auto" w:fill="auto"/>
            <w:vAlign w:val="center"/>
          </w:tcPr>
          <w:p w14:paraId="21596356">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4,978.00</w:t>
            </w:r>
          </w:p>
        </w:tc>
        <w:tc>
          <w:tcPr>
            <w:tcW w:w="1855" w:type="dxa"/>
            <w:tcBorders>
              <w:top w:val="nil"/>
              <w:left w:val="single" w:color="000000" w:sz="8" w:space="0"/>
              <w:bottom w:val="single" w:color="000000" w:sz="8" w:space="0"/>
              <w:right w:val="single" w:color="000000" w:sz="8" w:space="0"/>
            </w:tcBorders>
            <w:shd w:val="clear" w:color="auto" w:fill="auto"/>
            <w:vAlign w:val="center"/>
          </w:tcPr>
          <w:p w14:paraId="5649DF4A">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61.59</w:t>
            </w:r>
          </w:p>
        </w:tc>
        <w:tc>
          <w:tcPr>
            <w:tcW w:w="1241" w:type="dxa"/>
            <w:tcBorders>
              <w:top w:val="nil"/>
              <w:left w:val="nil"/>
              <w:bottom w:val="single" w:color="000000" w:sz="8" w:space="0"/>
              <w:right w:val="single" w:color="000000" w:sz="8" w:space="0"/>
            </w:tcBorders>
            <w:shd w:val="clear" w:color="auto" w:fill="auto"/>
            <w:vAlign w:val="center"/>
          </w:tcPr>
          <w:p w14:paraId="46E8E875">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4,380.16</w:t>
            </w:r>
          </w:p>
        </w:tc>
      </w:tr>
      <w:tr w14:paraId="0D9E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992" w:type="dxa"/>
            <w:vMerge w:val="continue"/>
            <w:tcBorders>
              <w:top w:val="nil"/>
              <w:left w:val="single" w:color="000000" w:sz="8" w:space="0"/>
              <w:bottom w:val="single" w:color="000000" w:sz="8" w:space="0"/>
              <w:right w:val="single" w:color="000000" w:sz="8" w:space="0"/>
            </w:tcBorders>
            <w:shd w:val="clear" w:color="auto" w:fill="auto"/>
            <w:vAlign w:val="center"/>
          </w:tcPr>
          <w:p w14:paraId="76D79959">
            <w:pPr>
              <w:jc w:val="both"/>
              <w:rPr>
                <w:rFonts w:hint="eastAsia" w:ascii="仿宋" w:hAnsi="仿宋" w:eastAsia="仿宋" w:cstheme="minorBidi"/>
                <w:bCs/>
                <w:kern w:val="2"/>
                <w:sz w:val="21"/>
                <w:szCs w:val="21"/>
                <w:lang w:val="en-US" w:eastAsia="zh-CN" w:bidi="ar-SA"/>
              </w:rPr>
            </w:pPr>
          </w:p>
        </w:tc>
        <w:tc>
          <w:tcPr>
            <w:tcW w:w="1315" w:type="dxa"/>
            <w:tcBorders>
              <w:top w:val="nil"/>
              <w:left w:val="nil"/>
              <w:bottom w:val="single" w:color="000000" w:sz="8" w:space="0"/>
              <w:right w:val="single" w:color="000000" w:sz="8" w:space="0"/>
            </w:tcBorders>
            <w:shd w:val="clear" w:color="auto" w:fill="auto"/>
            <w:vAlign w:val="center"/>
          </w:tcPr>
          <w:p w14:paraId="22384A8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新时代民爆辽宁有限公司</w:t>
            </w:r>
          </w:p>
        </w:tc>
        <w:tc>
          <w:tcPr>
            <w:tcW w:w="912" w:type="dxa"/>
            <w:vMerge w:val="continue"/>
            <w:tcBorders>
              <w:top w:val="nil"/>
              <w:left w:val="nil"/>
              <w:bottom w:val="single" w:color="000000" w:sz="8" w:space="0"/>
              <w:right w:val="single" w:color="000000" w:sz="8" w:space="0"/>
            </w:tcBorders>
            <w:shd w:val="clear" w:color="auto" w:fill="auto"/>
            <w:vAlign w:val="center"/>
          </w:tcPr>
          <w:p w14:paraId="20538FA9">
            <w:pPr>
              <w:jc w:val="both"/>
              <w:rPr>
                <w:rFonts w:hint="eastAsia" w:ascii="仿宋" w:hAnsi="仿宋" w:eastAsia="仿宋" w:cstheme="minorBidi"/>
                <w:bCs/>
                <w:kern w:val="2"/>
                <w:sz w:val="21"/>
                <w:szCs w:val="21"/>
                <w:lang w:val="en-US" w:eastAsia="zh-CN" w:bidi="ar-SA"/>
              </w:rPr>
            </w:pPr>
          </w:p>
        </w:tc>
        <w:tc>
          <w:tcPr>
            <w:tcW w:w="1418" w:type="dxa"/>
            <w:vMerge w:val="continue"/>
            <w:tcBorders>
              <w:top w:val="nil"/>
              <w:left w:val="nil"/>
              <w:bottom w:val="single" w:color="000000" w:sz="8" w:space="0"/>
              <w:right w:val="single" w:color="000000" w:sz="8" w:space="0"/>
            </w:tcBorders>
            <w:shd w:val="clear" w:color="auto" w:fill="auto"/>
            <w:vAlign w:val="center"/>
          </w:tcPr>
          <w:p w14:paraId="764D5684">
            <w:pPr>
              <w:jc w:val="both"/>
              <w:rPr>
                <w:rFonts w:hint="eastAsia" w:ascii="仿宋" w:hAnsi="仿宋" w:eastAsia="仿宋" w:cstheme="minorBidi"/>
                <w:bCs/>
                <w:kern w:val="2"/>
                <w:sz w:val="21"/>
                <w:szCs w:val="21"/>
                <w:lang w:val="en-US" w:eastAsia="zh-CN" w:bidi="ar-SA"/>
              </w:rPr>
            </w:pPr>
          </w:p>
        </w:tc>
        <w:tc>
          <w:tcPr>
            <w:tcW w:w="1636" w:type="dxa"/>
            <w:tcBorders>
              <w:top w:val="nil"/>
              <w:left w:val="single" w:color="000000" w:sz="8" w:space="0"/>
              <w:bottom w:val="single" w:color="000000" w:sz="8" w:space="0"/>
              <w:right w:val="single" w:color="000000" w:sz="8" w:space="0"/>
            </w:tcBorders>
            <w:shd w:val="clear" w:color="auto" w:fill="auto"/>
            <w:vAlign w:val="center"/>
          </w:tcPr>
          <w:p w14:paraId="3AF0F53E">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3,362.87</w:t>
            </w:r>
          </w:p>
        </w:tc>
        <w:tc>
          <w:tcPr>
            <w:tcW w:w="1855" w:type="dxa"/>
            <w:tcBorders>
              <w:top w:val="nil"/>
              <w:left w:val="single" w:color="000000" w:sz="8" w:space="0"/>
              <w:bottom w:val="single" w:color="000000" w:sz="8" w:space="0"/>
              <w:right w:val="single" w:color="000000" w:sz="8" w:space="0"/>
            </w:tcBorders>
            <w:shd w:val="clear" w:color="auto" w:fill="auto"/>
            <w:vAlign w:val="center"/>
          </w:tcPr>
          <w:p w14:paraId="4B6D87F7">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140.17</w:t>
            </w:r>
          </w:p>
        </w:tc>
        <w:tc>
          <w:tcPr>
            <w:tcW w:w="1241" w:type="dxa"/>
            <w:tcBorders>
              <w:top w:val="nil"/>
              <w:left w:val="nil"/>
              <w:bottom w:val="single" w:color="000000" w:sz="8" w:space="0"/>
              <w:right w:val="single" w:color="000000" w:sz="8" w:space="0"/>
            </w:tcBorders>
            <w:shd w:val="clear" w:color="auto" w:fill="auto"/>
            <w:vAlign w:val="center"/>
          </w:tcPr>
          <w:p w14:paraId="0326BF43">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2,837.19</w:t>
            </w:r>
          </w:p>
        </w:tc>
      </w:tr>
      <w:tr w14:paraId="6E3C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14:paraId="6D1E8154">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向关联方采购商品</w:t>
            </w:r>
          </w:p>
        </w:tc>
        <w:tc>
          <w:tcPr>
            <w:tcW w:w="1315" w:type="dxa"/>
            <w:tcBorders>
              <w:top w:val="nil"/>
              <w:left w:val="nil"/>
              <w:bottom w:val="single" w:color="000000" w:sz="8" w:space="0"/>
              <w:right w:val="single" w:color="000000" w:sz="8" w:space="0"/>
            </w:tcBorders>
            <w:shd w:val="clear" w:color="auto" w:fill="auto"/>
            <w:vAlign w:val="center"/>
          </w:tcPr>
          <w:p w14:paraId="5FFD8B38">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保利化工控股有限公司</w:t>
            </w:r>
          </w:p>
        </w:tc>
        <w:tc>
          <w:tcPr>
            <w:tcW w:w="912" w:type="dxa"/>
            <w:vMerge w:val="restart"/>
            <w:tcBorders>
              <w:top w:val="nil"/>
              <w:left w:val="nil"/>
              <w:bottom w:val="single" w:color="000000" w:sz="8" w:space="0"/>
              <w:right w:val="single" w:color="000000" w:sz="8" w:space="0"/>
            </w:tcBorders>
            <w:shd w:val="clear" w:color="auto" w:fill="auto"/>
            <w:vAlign w:val="center"/>
          </w:tcPr>
          <w:p w14:paraId="1E1E6D2C">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购买商品</w:t>
            </w:r>
          </w:p>
        </w:tc>
        <w:tc>
          <w:tcPr>
            <w:tcW w:w="1418" w:type="dxa"/>
            <w:vMerge w:val="restart"/>
            <w:tcBorders>
              <w:top w:val="nil"/>
              <w:left w:val="nil"/>
              <w:bottom w:val="single" w:color="000000" w:sz="8" w:space="0"/>
              <w:right w:val="single" w:color="000000" w:sz="8" w:space="0"/>
            </w:tcBorders>
            <w:shd w:val="clear" w:color="auto" w:fill="auto"/>
            <w:vAlign w:val="center"/>
          </w:tcPr>
          <w:p w14:paraId="495DF7C6">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市场定价</w:t>
            </w:r>
          </w:p>
        </w:tc>
        <w:tc>
          <w:tcPr>
            <w:tcW w:w="1636" w:type="dxa"/>
            <w:tcBorders>
              <w:top w:val="nil"/>
              <w:left w:val="single" w:color="000000" w:sz="8" w:space="0"/>
              <w:bottom w:val="single" w:color="000000" w:sz="8" w:space="0"/>
              <w:right w:val="single" w:color="000000" w:sz="8" w:space="0"/>
            </w:tcBorders>
            <w:shd w:val="clear" w:color="auto" w:fill="auto"/>
            <w:vAlign w:val="center"/>
          </w:tcPr>
          <w:p w14:paraId="6DC0EE7F">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64,338.76</w:t>
            </w:r>
          </w:p>
        </w:tc>
        <w:tc>
          <w:tcPr>
            <w:tcW w:w="1855" w:type="dxa"/>
            <w:tcBorders>
              <w:top w:val="nil"/>
              <w:left w:val="nil"/>
              <w:bottom w:val="single" w:color="000000" w:sz="8" w:space="0"/>
              <w:right w:val="single" w:color="000000" w:sz="8" w:space="0"/>
            </w:tcBorders>
            <w:shd w:val="clear" w:color="auto" w:fill="auto"/>
            <w:vAlign w:val="center"/>
          </w:tcPr>
          <w:p w14:paraId="28AD31D4">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3,727.36</w:t>
            </w:r>
          </w:p>
        </w:tc>
        <w:tc>
          <w:tcPr>
            <w:tcW w:w="1241" w:type="dxa"/>
            <w:tcBorders>
              <w:top w:val="nil"/>
              <w:left w:val="nil"/>
              <w:bottom w:val="single" w:color="000000" w:sz="8" w:space="0"/>
              <w:right w:val="single" w:color="000000" w:sz="8" w:space="0"/>
            </w:tcBorders>
            <w:shd w:val="clear" w:color="auto" w:fill="auto"/>
            <w:vAlign w:val="center"/>
          </w:tcPr>
          <w:p w14:paraId="6D6ED27C">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26,814.31</w:t>
            </w:r>
          </w:p>
        </w:tc>
      </w:tr>
      <w:tr w14:paraId="3518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992" w:type="dxa"/>
            <w:vMerge w:val="continue"/>
            <w:tcBorders>
              <w:top w:val="nil"/>
              <w:left w:val="single" w:color="000000" w:sz="8" w:space="0"/>
              <w:bottom w:val="single" w:color="000000" w:sz="8" w:space="0"/>
              <w:right w:val="single" w:color="000000" w:sz="8" w:space="0"/>
            </w:tcBorders>
            <w:shd w:val="clear" w:color="auto" w:fill="auto"/>
            <w:vAlign w:val="center"/>
          </w:tcPr>
          <w:p w14:paraId="5BD18E88">
            <w:pPr>
              <w:jc w:val="center"/>
              <w:rPr>
                <w:rFonts w:hint="eastAsia" w:ascii="仿宋" w:hAnsi="仿宋" w:eastAsia="仿宋" w:cstheme="minorBidi"/>
                <w:bCs/>
                <w:kern w:val="2"/>
                <w:sz w:val="21"/>
                <w:szCs w:val="21"/>
                <w:lang w:val="en-US" w:eastAsia="zh-CN" w:bidi="ar-SA"/>
              </w:rPr>
            </w:pPr>
          </w:p>
        </w:tc>
        <w:tc>
          <w:tcPr>
            <w:tcW w:w="1315" w:type="dxa"/>
            <w:tcBorders>
              <w:top w:val="nil"/>
              <w:left w:val="nil"/>
              <w:bottom w:val="single" w:color="000000" w:sz="8" w:space="0"/>
              <w:right w:val="single" w:color="000000" w:sz="8" w:space="0"/>
            </w:tcBorders>
            <w:shd w:val="clear" w:color="auto" w:fill="auto"/>
            <w:vAlign w:val="center"/>
          </w:tcPr>
          <w:p w14:paraId="64F0480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贵州盘化实业有限公司</w:t>
            </w:r>
          </w:p>
        </w:tc>
        <w:tc>
          <w:tcPr>
            <w:tcW w:w="912" w:type="dxa"/>
            <w:vMerge w:val="continue"/>
            <w:tcBorders>
              <w:top w:val="nil"/>
              <w:left w:val="nil"/>
              <w:bottom w:val="single" w:color="000000" w:sz="8" w:space="0"/>
              <w:right w:val="single" w:color="000000" w:sz="8" w:space="0"/>
            </w:tcBorders>
            <w:shd w:val="clear" w:color="auto" w:fill="auto"/>
            <w:vAlign w:val="center"/>
          </w:tcPr>
          <w:p w14:paraId="554B1EB3">
            <w:pPr>
              <w:jc w:val="center"/>
              <w:rPr>
                <w:rFonts w:hint="eastAsia" w:ascii="仿宋" w:hAnsi="仿宋" w:eastAsia="仿宋" w:cstheme="minorBidi"/>
                <w:bCs/>
                <w:kern w:val="2"/>
                <w:sz w:val="21"/>
                <w:szCs w:val="21"/>
                <w:lang w:val="en-US" w:eastAsia="zh-CN" w:bidi="ar-SA"/>
              </w:rPr>
            </w:pPr>
          </w:p>
        </w:tc>
        <w:tc>
          <w:tcPr>
            <w:tcW w:w="1418" w:type="dxa"/>
            <w:vMerge w:val="continue"/>
            <w:tcBorders>
              <w:top w:val="nil"/>
              <w:left w:val="nil"/>
              <w:bottom w:val="single" w:color="000000" w:sz="8" w:space="0"/>
              <w:right w:val="single" w:color="000000" w:sz="8" w:space="0"/>
            </w:tcBorders>
            <w:shd w:val="clear" w:color="auto" w:fill="auto"/>
            <w:vAlign w:val="center"/>
          </w:tcPr>
          <w:p w14:paraId="6B31FE3C">
            <w:pPr>
              <w:jc w:val="center"/>
              <w:rPr>
                <w:rFonts w:hint="eastAsia" w:ascii="仿宋" w:hAnsi="仿宋" w:eastAsia="仿宋" w:cstheme="minorBidi"/>
                <w:bCs/>
                <w:kern w:val="2"/>
                <w:sz w:val="21"/>
                <w:szCs w:val="21"/>
                <w:lang w:val="en-US" w:eastAsia="zh-CN" w:bidi="ar-SA"/>
              </w:rPr>
            </w:pPr>
          </w:p>
        </w:tc>
        <w:tc>
          <w:tcPr>
            <w:tcW w:w="1636" w:type="dxa"/>
            <w:tcBorders>
              <w:top w:val="nil"/>
              <w:left w:val="single" w:color="000000" w:sz="8" w:space="0"/>
              <w:bottom w:val="single" w:color="000000" w:sz="8" w:space="0"/>
              <w:right w:val="single" w:color="000000" w:sz="8" w:space="0"/>
            </w:tcBorders>
            <w:shd w:val="clear" w:color="auto" w:fill="auto"/>
            <w:vAlign w:val="center"/>
          </w:tcPr>
          <w:p w14:paraId="05F0234C">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3,360.00</w:t>
            </w:r>
          </w:p>
        </w:tc>
        <w:tc>
          <w:tcPr>
            <w:tcW w:w="1855" w:type="dxa"/>
            <w:tcBorders>
              <w:top w:val="nil"/>
              <w:left w:val="nil"/>
              <w:bottom w:val="single" w:color="000000" w:sz="8" w:space="0"/>
              <w:right w:val="single" w:color="000000" w:sz="8" w:space="0"/>
            </w:tcBorders>
            <w:shd w:val="clear" w:color="auto" w:fill="auto"/>
            <w:vAlign w:val="center"/>
          </w:tcPr>
          <w:p w14:paraId="761755DF">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593.24</w:t>
            </w:r>
          </w:p>
        </w:tc>
        <w:tc>
          <w:tcPr>
            <w:tcW w:w="1241" w:type="dxa"/>
            <w:tcBorders>
              <w:top w:val="nil"/>
              <w:left w:val="nil"/>
              <w:bottom w:val="single" w:color="000000" w:sz="8" w:space="0"/>
              <w:right w:val="single" w:color="000000" w:sz="8" w:space="0"/>
            </w:tcBorders>
            <w:shd w:val="clear" w:color="auto" w:fill="auto"/>
            <w:vAlign w:val="center"/>
          </w:tcPr>
          <w:p w14:paraId="6B3C7E4D">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3,389.34</w:t>
            </w:r>
          </w:p>
        </w:tc>
      </w:tr>
      <w:tr w14:paraId="46AF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992" w:type="dxa"/>
            <w:vMerge w:val="continue"/>
            <w:tcBorders>
              <w:top w:val="nil"/>
              <w:left w:val="single" w:color="000000" w:sz="8" w:space="0"/>
              <w:bottom w:val="single" w:color="000000" w:sz="8" w:space="0"/>
              <w:right w:val="single" w:color="000000" w:sz="8" w:space="0"/>
            </w:tcBorders>
            <w:shd w:val="clear" w:color="auto" w:fill="auto"/>
            <w:vAlign w:val="center"/>
          </w:tcPr>
          <w:p w14:paraId="088C823F">
            <w:pPr>
              <w:jc w:val="center"/>
              <w:rPr>
                <w:rFonts w:hint="eastAsia" w:ascii="仿宋" w:hAnsi="仿宋" w:eastAsia="仿宋" w:cstheme="minorBidi"/>
                <w:bCs/>
                <w:kern w:val="2"/>
                <w:sz w:val="21"/>
                <w:szCs w:val="21"/>
                <w:lang w:val="en-US" w:eastAsia="zh-CN" w:bidi="ar-SA"/>
              </w:rPr>
            </w:pPr>
          </w:p>
        </w:tc>
        <w:tc>
          <w:tcPr>
            <w:tcW w:w="1315" w:type="dxa"/>
            <w:tcBorders>
              <w:top w:val="nil"/>
              <w:left w:val="nil"/>
              <w:bottom w:val="single" w:color="000000" w:sz="8" w:space="0"/>
              <w:right w:val="single" w:color="000000" w:sz="8" w:space="0"/>
            </w:tcBorders>
            <w:shd w:val="clear" w:color="auto" w:fill="auto"/>
            <w:vAlign w:val="center"/>
          </w:tcPr>
          <w:p w14:paraId="0D3082D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新时代民爆辽宁有限公司</w:t>
            </w:r>
          </w:p>
        </w:tc>
        <w:tc>
          <w:tcPr>
            <w:tcW w:w="912" w:type="dxa"/>
            <w:vMerge w:val="continue"/>
            <w:tcBorders>
              <w:top w:val="nil"/>
              <w:left w:val="nil"/>
              <w:bottom w:val="single" w:color="000000" w:sz="8" w:space="0"/>
              <w:right w:val="single" w:color="000000" w:sz="8" w:space="0"/>
            </w:tcBorders>
            <w:shd w:val="clear" w:color="auto" w:fill="auto"/>
            <w:vAlign w:val="center"/>
          </w:tcPr>
          <w:p w14:paraId="5A294912">
            <w:pPr>
              <w:jc w:val="center"/>
              <w:rPr>
                <w:rFonts w:hint="eastAsia" w:ascii="仿宋" w:hAnsi="仿宋" w:eastAsia="仿宋" w:cstheme="minorBidi"/>
                <w:bCs/>
                <w:kern w:val="2"/>
                <w:sz w:val="21"/>
                <w:szCs w:val="21"/>
                <w:lang w:val="en-US" w:eastAsia="zh-CN" w:bidi="ar-SA"/>
              </w:rPr>
            </w:pPr>
          </w:p>
        </w:tc>
        <w:tc>
          <w:tcPr>
            <w:tcW w:w="1418" w:type="dxa"/>
            <w:vMerge w:val="continue"/>
            <w:tcBorders>
              <w:top w:val="nil"/>
              <w:left w:val="nil"/>
              <w:bottom w:val="single" w:color="000000" w:sz="8" w:space="0"/>
              <w:right w:val="single" w:color="000000" w:sz="8" w:space="0"/>
            </w:tcBorders>
            <w:shd w:val="clear" w:color="auto" w:fill="auto"/>
            <w:vAlign w:val="center"/>
          </w:tcPr>
          <w:p w14:paraId="54683666">
            <w:pPr>
              <w:jc w:val="center"/>
              <w:rPr>
                <w:rFonts w:hint="eastAsia" w:ascii="仿宋" w:hAnsi="仿宋" w:eastAsia="仿宋" w:cstheme="minorBidi"/>
                <w:bCs/>
                <w:kern w:val="2"/>
                <w:sz w:val="21"/>
                <w:szCs w:val="21"/>
                <w:lang w:val="en-US" w:eastAsia="zh-CN" w:bidi="ar-SA"/>
              </w:rPr>
            </w:pPr>
          </w:p>
        </w:tc>
        <w:tc>
          <w:tcPr>
            <w:tcW w:w="1636" w:type="dxa"/>
            <w:tcBorders>
              <w:top w:val="nil"/>
              <w:left w:val="single" w:color="000000" w:sz="8" w:space="0"/>
              <w:bottom w:val="single" w:color="000000" w:sz="8" w:space="0"/>
              <w:right w:val="single" w:color="000000" w:sz="8" w:space="0"/>
            </w:tcBorders>
            <w:shd w:val="clear" w:color="auto" w:fill="auto"/>
            <w:vAlign w:val="center"/>
          </w:tcPr>
          <w:p w14:paraId="456B50BF">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1,100.00</w:t>
            </w:r>
          </w:p>
        </w:tc>
        <w:tc>
          <w:tcPr>
            <w:tcW w:w="1855" w:type="dxa"/>
            <w:tcBorders>
              <w:top w:val="nil"/>
              <w:left w:val="nil"/>
              <w:bottom w:val="single" w:color="000000" w:sz="8" w:space="0"/>
              <w:right w:val="single" w:color="000000" w:sz="8" w:space="0"/>
            </w:tcBorders>
            <w:shd w:val="clear" w:color="auto" w:fill="auto"/>
            <w:vAlign w:val="center"/>
          </w:tcPr>
          <w:p w14:paraId="3E150731">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3.98</w:t>
            </w:r>
          </w:p>
        </w:tc>
        <w:tc>
          <w:tcPr>
            <w:tcW w:w="1241" w:type="dxa"/>
            <w:tcBorders>
              <w:top w:val="nil"/>
              <w:left w:val="nil"/>
              <w:bottom w:val="single" w:color="000000" w:sz="8" w:space="0"/>
              <w:right w:val="single" w:color="000000" w:sz="8" w:space="0"/>
            </w:tcBorders>
            <w:shd w:val="clear" w:color="auto" w:fill="auto"/>
            <w:vAlign w:val="center"/>
          </w:tcPr>
          <w:p w14:paraId="3C8B6C93">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946.73</w:t>
            </w:r>
          </w:p>
        </w:tc>
      </w:tr>
      <w:tr w14:paraId="3E5F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14:paraId="3BE3FF03">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提供、接受劳务</w:t>
            </w:r>
          </w:p>
        </w:tc>
        <w:tc>
          <w:tcPr>
            <w:tcW w:w="1315" w:type="dxa"/>
            <w:tcBorders>
              <w:top w:val="nil"/>
              <w:left w:val="nil"/>
              <w:bottom w:val="single" w:color="000000" w:sz="8" w:space="0"/>
              <w:right w:val="single" w:color="000000" w:sz="8" w:space="0"/>
            </w:tcBorders>
            <w:shd w:val="clear" w:color="auto" w:fill="auto"/>
            <w:vAlign w:val="center"/>
          </w:tcPr>
          <w:p w14:paraId="0D6FB24F">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保利民爆哈密有限公司</w:t>
            </w:r>
          </w:p>
        </w:tc>
        <w:tc>
          <w:tcPr>
            <w:tcW w:w="912" w:type="dxa"/>
            <w:vMerge w:val="restart"/>
            <w:tcBorders>
              <w:top w:val="nil"/>
              <w:left w:val="nil"/>
              <w:bottom w:val="single" w:color="000000" w:sz="8" w:space="0"/>
              <w:right w:val="single" w:color="000000" w:sz="8" w:space="0"/>
            </w:tcBorders>
            <w:shd w:val="clear" w:color="auto" w:fill="auto"/>
            <w:vAlign w:val="center"/>
          </w:tcPr>
          <w:p w14:paraId="5E0DCB0B">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提供、接受劳务</w:t>
            </w:r>
          </w:p>
        </w:tc>
        <w:tc>
          <w:tcPr>
            <w:tcW w:w="1418" w:type="dxa"/>
            <w:vMerge w:val="restart"/>
            <w:tcBorders>
              <w:top w:val="nil"/>
              <w:left w:val="nil"/>
              <w:bottom w:val="single" w:color="000000" w:sz="8" w:space="0"/>
              <w:right w:val="single" w:color="000000" w:sz="8" w:space="0"/>
            </w:tcBorders>
            <w:shd w:val="clear" w:color="auto" w:fill="auto"/>
            <w:vAlign w:val="center"/>
          </w:tcPr>
          <w:p w14:paraId="7880A03B">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市场定价</w:t>
            </w:r>
          </w:p>
        </w:tc>
        <w:tc>
          <w:tcPr>
            <w:tcW w:w="1636" w:type="dxa"/>
            <w:tcBorders>
              <w:top w:val="nil"/>
              <w:left w:val="single" w:color="000000" w:sz="8" w:space="0"/>
              <w:bottom w:val="single" w:color="000000" w:sz="8" w:space="0"/>
              <w:right w:val="single" w:color="000000" w:sz="8" w:space="0"/>
            </w:tcBorders>
            <w:shd w:val="clear" w:color="auto" w:fill="auto"/>
            <w:vAlign w:val="center"/>
          </w:tcPr>
          <w:p w14:paraId="05F04C4B">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750.00</w:t>
            </w:r>
          </w:p>
        </w:tc>
        <w:tc>
          <w:tcPr>
            <w:tcW w:w="1855" w:type="dxa"/>
            <w:tcBorders>
              <w:top w:val="nil"/>
              <w:left w:val="nil"/>
              <w:bottom w:val="single" w:color="000000" w:sz="8" w:space="0"/>
              <w:right w:val="single" w:color="000000" w:sz="8" w:space="0"/>
            </w:tcBorders>
            <w:shd w:val="clear" w:color="auto" w:fill="auto"/>
            <w:vAlign w:val="center"/>
          </w:tcPr>
          <w:p w14:paraId="75772DB6">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w:t>
            </w:r>
          </w:p>
        </w:tc>
        <w:tc>
          <w:tcPr>
            <w:tcW w:w="1241" w:type="dxa"/>
            <w:tcBorders>
              <w:top w:val="nil"/>
              <w:left w:val="nil"/>
              <w:bottom w:val="single" w:color="000000" w:sz="8" w:space="0"/>
              <w:right w:val="single" w:color="000000" w:sz="8" w:space="0"/>
            </w:tcBorders>
            <w:shd w:val="clear" w:color="auto" w:fill="auto"/>
            <w:vAlign w:val="center"/>
          </w:tcPr>
          <w:p w14:paraId="6B4C5BD0">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8,793.82</w:t>
            </w:r>
          </w:p>
        </w:tc>
      </w:tr>
      <w:tr w14:paraId="30AA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992" w:type="dxa"/>
            <w:vMerge w:val="continue"/>
            <w:tcBorders>
              <w:top w:val="nil"/>
              <w:left w:val="single" w:color="000000" w:sz="8" w:space="0"/>
              <w:bottom w:val="single" w:color="000000" w:sz="8" w:space="0"/>
              <w:right w:val="single" w:color="000000" w:sz="8" w:space="0"/>
            </w:tcBorders>
            <w:shd w:val="clear" w:color="auto" w:fill="auto"/>
            <w:vAlign w:val="center"/>
          </w:tcPr>
          <w:p w14:paraId="5D5864AD">
            <w:pPr>
              <w:jc w:val="left"/>
              <w:rPr>
                <w:rFonts w:hint="eastAsia" w:ascii="仿宋" w:hAnsi="仿宋" w:eastAsia="仿宋" w:cstheme="minorBidi"/>
                <w:bCs/>
                <w:kern w:val="2"/>
                <w:sz w:val="21"/>
                <w:szCs w:val="21"/>
                <w:lang w:val="en-US" w:eastAsia="zh-CN" w:bidi="ar-SA"/>
              </w:rPr>
            </w:pPr>
          </w:p>
        </w:tc>
        <w:tc>
          <w:tcPr>
            <w:tcW w:w="1315" w:type="dxa"/>
            <w:tcBorders>
              <w:top w:val="nil"/>
              <w:left w:val="nil"/>
              <w:bottom w:val="single" w:color="000000" w:sz="8" w:space="0"/>
              <w:right w:val="single" w:color="000000" w:sz="8" w:space="0"/>
            </w:tcBorders>
            <w:shd w:val="clear" w:color="auto" w:fill="auto"/>
            <w:vAlign w:val="center"/>
          </w:tcPr>
          <w:p w14:paraId="1447133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保利长大工程有限公司</w:t>
            </w:r>
          </w:p>
        </w:tc>
        <w:tc>
          <w:tcPr>
            <w:tcW w:w="912" w:type="dxa"/>
            <w:vMerge w:val="continue"/>
            <w:tcBorders>
              <w:top w:val="nil"/>
              <w:left w:val="nil"/>
              <w:bottom w:val="single" w:color="000000" w:sz="8" w:space="0"/>
              <w:right w:val="single" w:color="000000" w:sz="8" w:space="0"/>
            </w:tcBorders>
            <w:shd w:val="clear" w:color="auto" w:fill="auto"/>
            <w:vAlign w:val="center"/>
          </w:tcPr>
          <w:p w14:paraId="0BE708D3">
            <w:pPr>
              <w:jc w:val="left"/>
              <w:rPr>
                <w:rFonts w:hint="eastAsia" w:ascii="仿宋" w:hAnsi="仿宋" w:eastAsia="仿宋" w:cstheme="minorBidi"/>
                <w:bCs/>
                <w:kern w:val="2"/>
                <w:sz w:val="21"/>
                <w:szCs w:val="21"/>
                <w:lang w:val="en-US" w:eastAsia="zh-CN" w:bidi="ar-SA"/>
              </w:rPr>
            </w:pPr>
          </w:p>
        </w:tc>
        <w:tc>
          <w:tcPr>
            <w:tcW w:w="1418" w:type="dxa"/>
            <w:vMerge w:val="continue"/>
            <w:tcBorders>
              <w:top w:val="nil"/>
              <w:left w:val="nil"/>
              <w:bottom w:val="single" w:color="000000" w:sz="8" w:space="0"/>
              <w:right w:val="single" w:color="000000" w:sz="8" w:space="0"/>
            </w:tcBorders>
            <w:shd w:val="clear" w:color="auto" w:fill="auto"/>
            <w:vAlign w:val="center"/>
          </w:tcPr>
          <w:p w14:paraId="6EA82F01">
            <w:pPr>
              <w:jc w:val="left"/>
              <w:rPr>
                <w:rFonts w:hint="eastAsia" w:ascii="仿宋" w:hAnsi="仿宋" w:eastAsia="仿宋" w:cstheme="minorBidi"/>
                <w:bCs/>
                <w:kern w:val="2"/>
                <w:sz w:val="21"/>
                <w:szCs w:val="21"/>
                <w:lang w:val="en-US" w:eastAsia="zh-CN" w:bidi="ar-SA"/>
              </w:rPr>
            </w:pPr>
          </w:p>
        </w:tc>
        <w:tc>
          <w:tcPr>
            <w:tcW w:w="1636" w:type="dxa"/>
            <w:tcBorders>
              <w:top w:val="nil"/>
              <w:left w:val="nil"/>
              <w:bottom w:val="single" w:color="000000" w:sz="8" w:space="0"/>
              <w:right w:val="single" w:color="000000" w:sz="8" w:space="0"/>
            </w:tcBorders>
            <w:shd w:val="clear" w:color="auto" w:fill="auto"/>
            <w:vAlign w:val="center"/>
          </w:tcPr>
          <w:p w14:paraId="0897849D">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2,500.00</w:t>
            </w:r>
          </w:p>
        </w:tc>
        <w:tc>
          <w:tcPr>
            <w:tcW w:w="1855" w:type="dxa"/>
            <w:tcBorders>
              <w:top w:val="nil"/>
              <w:left w:val="nil"/>
              <w:bottom w:val="single" w:color="000000" w:sz="8" w:space="0"/>
              <w:right w:val="single" w:color="000000" w:sz="8" w:space="0"/>
            </w:tcBorders>
            <w:shd w:val="clear" w:color="auto" w:fill="auto"/>
            <w:vAlign w:val="center"/>
          </w:tcPr>
          <w:p w14:paraId="7E471D81">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1,590.64</w:t>
            </w:r>
          </w:p>
        </w:tc>
        <w:tc>
          <w:tcPr>
            <w:tcW w:w="1241" w:type="dxa"/>
            <w:tcBorders>
              <w:top w:val="nil"/>
              <w:left w:val="nil"/>
              <w:bottom w:val="single" w:color="000000" w:sz="8" w:space="0"/>
              <w:right w:val="single" w:color="000000" w:sz="8" w:space="0"/>
            </w:tcBorders>
            <w:shd w:val="clear" w:color="auto" w:fill="auto"/>
            <w:vAlign w:val="center"/>
          </w:tcPr>
          <w:p w14:paraId="761A39A0">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6,273.77</w:t>
            </w:r>
          </w:p>
        </w:tc>
      </w:tr>
      <w:tr w14:paraId="5DF2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992" w:type="dxa"/>
            <w:vMerge w:val="continue"/>
            <w:tcBorders>
              <w:top w:val="nil"/>
              <w:left w:val="single" w:color="000000" w:sz="8" w:space="0"/>
              <w:bottom w:val="single" w:color="000000" w:sz="8" w:space="0"/>
              <w:right w:val="single" w:color="000000" w:sz="8" w:space="0"/>
            </w:tcBorders>
            <w:shd w:val="clear" w:color="auto" w:fill="auto"/>
            <w:vAlign w:val="center"/>
          </w:tcPr>
          <w:p w14:paraId="062C3420">
            <w:pPr>
              <w:jc w:val="left"/>
              <w:rPr>
                <w:rFonts w:hint="eastAsia" w:ascii="仿宋" w:hAnsi="仿宋" w:eastAsia="仿宋" w:cstheme="minorBidi"/>
                <w:bCs/>
                <w:kern w:val="2"/>
                <w:sz w:val="21"/>
                <w:szCs w:val="21"/>
                <w:lang w:val="en-US" w:eastAsia="zh-CN" w:bidi="ar-SA"/>
              </w:rPr>
            </w:pPr>
          </w:p>
        </w:tc>
        <w:tc>
          <w:tcPr>
            <w:tcW w:w="1315" w:type="dxa"/>
            <w:tcBorders>
              <w:top w:val="nil"/>
              <w:left w:val="nil"/>
              <w:bottom w:val="single" w:color="000000" w:sz="8" w:space="0"/>
              <w:right w:val="single" w:color="000000" w:sz="8" w:space="0"/>
            </w:tcBorders>
            <w:shd w:val="clear" w:color="auto" w:fill="auto"/>
            <w:vAlign w:val="center"/>
          </w:tcPr>
          <w:p w14:paraId="28B5A34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北京北阳世纪民爆工程有限公司</w:t>
            </w:r>
          </w:p>
        </w:tc>
        <w:tc>
          <w:tcPr>
            <w:tcW w:w="912" w:type="dxa"/>
            <w:vMerge w:val="continue"/>
            <w:tcBorders>
              <w:top w:val="nil"/>
              <w:left w:val="nil"/>
              <w:bottom w:val="single" w:color="000000" w:sz="8" w:space="0"/>
              <w:right w:val="single" w:color="000000" w:sz="8" w:space="0"/>
            </w:tcBorders>
            <w:shd w:val="clear" w:color="auto" w:fill="auto"/>
            <w:vAlign w:val="center"/>
          </w:tcPr>
          <w:p w14:paraId="3148265E">
            <w:pPr>
              <w:jc w:val="left"/>
              <w:rPr>
                <w:rFonts w:hint="eastAsia" w:ascii="仿宋" w:hAnsi="仿宋" w:eastAsia="仿宋" w:cstheme="minorBidi"/>
                <w:bCs/>
                <w:kern w:val="2"/>
                <w:sz w:val="21"/>
                <w:szCs w:val="21"/>
                <w:lang w:val="en-US" w:eastAsia="zh-CN" w:bidi="ar-SA"/>
              </w:rPr>
            </w:pPr>
          </w:p>
        </w:tc>
        <w:tc>
          <w:tcPr>
            <w:tcW w:w="1418" w:type="dxa"/>
            <w:vMerge w:val="continue"/>
            <w:tcBorders>
              <w:top w:val="nil"/>
              <w:left w:val="nil"/>
              <w:bottom w:val="single" w:color="000000" w:sz="8" w:space="0"/>
              <w:right w:val="single" w:color="000000" w:sz="8" w:space="0"/>
            </w:tcBorders>
            <w:shd w:val="clear" w:color="auto" w:fill="auto"/>
            <w:vAlign w:val="center"/>
          </w:tcPr>
          <w:p w14:paraId="4B064154">
            <w:pPr>
              <w:jc w:val="left"/>
              <w:rPr>
                <w:rFonts w:hint="eastAsia" w:ascii="仿宋" w:hAnsi="仿宋" w:eastAsia="仿宋" w:cstheme="minorBidi"/>
                <w:bCs/>
                <w:kern w:val="2"/>
                <w:sz w:val="21"/>
                <w:szCs w:val="21"/>
                <w:lang w:val="en-US" w:eastAsia="zh-CN" w:bidi="ar-SA"/>
              </w:rPr>
            </w:pPr>
          </w:p>
        </w:tc>
        <w:tc>
          <w:tcPr>
            <w:tcW w:w="1636" w:type="dxa"/>
            <w:tcBorders>
              <w:top w:val="nil"/>
              <w:left w:val="nil"/>
              <w:bottom w:val="single" w:color="000000" w:sz="8" w:space="0"/>
              <w:right w:val="single" w:color="000000" w:sz="8" w:space="0"/>
            </w:tcBorders>
            <w:shd w:val="clear" w:color="auto" w:fill="auto"/>
            <w:vAlign w:val="center"/>
          </w:tcPr>
          <w:p w14:paraId="6136DBB3">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5,523.59</w:t>
            </w:r>
          </w:p>
        </w:tc>
        <w:tc>
          <w:tcPr>
            <w:tcW w:w="1855" w:type="dxa"/>
            <w:tcBorders>
              <w:top w:val="nil"/>
              <w:left w:val="nil"/>
              <w:bottom w:val="single" w:color="000000" w:sz="8" w:space="0"/>
              <w:right w:val="single" w:color="000000" w:sz="8" w:space="0"/>
            </w:tcBorders>
            <w:shd w:val="clear" w:color="auto" w:fill="auto"/>
            <w:vAlign w:val="center"/>
          </w:tcPr>
          <w:p w14:paraId="11BF9F5F">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w:t>
            </w:r>
          </w:p>
        </w:tc>
        <w:tc>
          <w:tcPr>
            <w:tcW w:w="1241" w:type="dxa"/>
            <w:tcBorders>
              <w:top w:val="nil"/>
              <w:left w:val="nil"/>
              <w:bottom w:val="single" w:color="000000" w:sz="8" w:space="0"/>
              <w:right w:val="single" w:color="000000" w:sz="8" w:space="0"/>
            </w:tcBorders>
            <w:shd w:val="clear" w:color="auto" w:fill="auto"/>
            <w:vAlign w:val="center"/>
          </w:tcPr>
          <w:p w14:paraId="73B455D6">
            <w:pPr>
              <w:keepNext w:val="0"/>
              <w:keepLines w:val="0"/>
              <w:widowControl/>
              <w:suppressLineNumbers w:val="0"/>
              <w:jc w:val="center"/>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7,267.56</w:t>
            </w:r>
          </w:p>
        </w:tc>
      </w:tr>
      <w:tr w14:paraId="630C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37" w:type="dxa"/>
            <w:gridSpan w:val="4"/>
            <w:tcBorders>
              <w:top w:val="nil"/>
              <w:left w:val="single" w:color="000000" w:sz="8" w:space="0"/>
              <w:bottom w:val="single" w:color="000000" w:sz="8" w:space="0"/>
              <w:right w:val="single" w:color="000000" w:sz="8" w:space="0"/>
            </w:tcBorders>
            <w:shd w:val="clear" w:color="auto" w:fill="auto"/>
            <w:vAlign w:val="center"/>
          </w:tcPr>
          <w:p w14:paraId="2C664E22">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合计</w:t>
            </w:r>
          </w:p>
        </w:tc>
        <w:tc>
          <w:tcPr>
            <w:tcW w:w="1636" w:type="dxa"/>
            <w:tcBorders>
              <w:top w:val="nil"/>
              <w:left w:val="nil"/>
              <w:bottom w:val="single" w:color="000000" w:sz="8" w:space="0"/>
              <w:right w:val="single" w:color="000000" w:sz="8" w:space="0"/>
            </w:tcBorders>
            <w:shd w:val="clear" w:color="auto" w:fill="auto"/>
            <w:vAlign w:val="top"/>
          </w:tcPr>
          <w:p w14:paraId="1C833C08">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85,913.22</w:t>
            </w:r>
          </w:p>
        </w:tc>
        <w:tc>
          <w:tcPr>
            <w:tcW w:w="1855" w:type="dxa"/>
            <w:tcBorders>
              <w:top w:val="nil"/>
              <w:left w:val="nil"/>
              <w:bottom w:val="single" w:color="000000" w:sz="8" w:space="0"/>
              <w:right w:val="single" w:color="000000" w:sz="8" w:space="0"/>
            </w:tcBorders>
            <w:shd w:val="clear" w:color="auto" w:fill="auto"/>
            <w:vAlign w:val="top"/>
          </w:tcPr>
          <w:p w14:paraId="4514CC17">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6,116.98</w:t>
            </w:r>
          </w:p>
        </w:tc>
        <w:tc>
          <w:tcPr>
            <w:tcW w:w="1241" w:type="dxa"/>
            <w:tcBorders>
              <w:top w:val="nil"/>
              <w:left w:val="nil"/>
              <w:bottom w:val="single" w:color="000000" w:sz="8" w:space="0"/>
              <w:right w:val="single" w:color="000000" w:sz="8" w:space="0"/>
            </w:tcBorders>
            <w:shd w:val="clear" w:color="auto" w:fill="auto"/>
            <w:vAlign w:val="top"/>
          </w:tcPr>
          <w:p w14:paraId="20749975">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60,702.89</w:t>
            </w:r>
          </w:p>
        </w:tc>
      </w:tr>
    </w:tbl>
    <w:p w14:paraId="5DAA6F61">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关联交易在总额范围内，公司及子公司可以根据实际情况在同一控制下的不同关联人之间的关联交易金额可实现内部调剂（包括不同关联交易类型间的调剂）。</w:t>
      </w:r>
    </w:p>
    <w:p w14:paraId="3195B8BF">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（三）2025年度日常关联交易实际发生情况</w:t>
      </w:r>
    </w:p>
    <w:p w14:paraId="3F266D27">
      <w:pPr>
        <w:numPr>
          <w:ilvl w:val="255"/>
          <w:numId w:val="0"/>
        </w:numPr>
        <w:ind w:firstLine="640" w:firstLineChars="200"/>
        <w:rPr>
          <w:rFonts w:hint="eastAsia" w:ascii="仿宋" w:hAnsi="仿宋" w:eastAsia="仿宋" w:cs="Times New Roman"/>
          <w:sz w:val="32"/>
          <w:szCs w:val="32"/>
        </w:rPr>
      </w:pPr>
      <w:r>
        <w:rPr>
          <w:rFonts w:hint="eastAsia" w:ascii="仿宋_GB2312" w:hAnsi="仿宋" w:eastAsia="仿宋_GB2312" w:cs="宋体"/>
          <w:bCs/>
          <w:sz w:val="32"/>
          <w:szCs w:val="32"/>
        </w:rPr>
        <w:t>按照2025年4月25日公司披露的《关于2025年度日常关联交易预计的公告》（公告编号：2025-15），2025年度公司与关联方发生的关联交易具体如下：</w:t>
      </w:r>
    </w:p>
    <w:tbl>
      <w:tblPr>
        <w:tblStyle w:val="7"/>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549"/>
        <w:gridCol w:w="938"/>
        <w:gridCol w:w="1228"/>
        <w:gridCol w:w="1174"/>
        <w:gridCol w:w="1001"/>
        <w:gridCol w:w="1000"/>
        <w:gridCol w:w="1603"/>
      </w:tblGrid>
      <w:tr w14:paraId="05AD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582110DA">
            <w:pPr>
              <w:widowControl/>
              <w:jc w:val="center"/>
              <w:textAlignment w:val="center"/>
              <w:rPr>
                <w:rFonts w:hint="eastAsia" w:ascii="仿宋" w:hAnsi="仿宋" w:eastAsia="仿宋" w:cs="宋体"/>
                <w:b/>
                <w:bCs/>
                <w:kern w:val="0"/>
                <w:szCs w:val="21"/>
                <w:lang w:bidi="ar"/>
              </w:rPr>
            </w:pPr>
            <w:r>
              <w:rPr>
                <w:rFonts w:hint="eastAsia" w:ascii="仿宋" w:hAnsi="仿宋" w:eastAsia="仿宋" w:cs="宋体"/>
                <w:b/>
                <w:bCs/>
                <w:kern w:val="0"/>
                <w:szCs w:val="21"/>
                <w:lang w:bidi="ar"/>
              </w:rPr>
              <w:t>关联交易类别</w:t>
            </w:r>
          </w:p>
        </w:tc>
        <w:tc>
          <w:tcPr>
            <w:tcW w:w="1549" w:type="dxa"/>
            <w:vAlign w:val="center"/>
          </w:tcPr>
          <w:p w14:paraId="2BEB3490">
            <w:pPr>
              <w:widowControl/>
              <w:jc w:val="center"/>
              <w:textAlignment w:val="center"/>
              <w:rPr>
                <w:rFonts w:hint="eastAsia" w:ascii="仿宋" w:hAnsi="仿宋" w:eastAsia="仿宋" w:cs="宋体"/>
                <w:b/>
                <w:bCs/>
                <w:kern w:val="0"/>
                <w:szCs w:val="21"/>
                <w:lang w:bidi="ar"/>
              </w:rPr>
            </w:pPr>
            <w:r>
              <w:rPr>
                <w:rFonts w:hint="eastAsia" w:ascii="仿宋" w:hAnsi="仿宋" w:eastAsia="仿宋" w:cs="宋体"/>
                <w:b/>
                <w:bCs/>
                <w:kern w:val="0"/>
                <w:szCs w:val="21"/>
                <w:lang w:bidi="ar"/>
              </w:rPr>
              <w:t>关联人</w:t>
            </w:r>
          </w:p>
        </w:tc>
        <w:tc>
          <w:tcPr>
            <w:tcW w:w="938" w:type="dxa"/>
            <w:vAlign w:val="center"/>
          </w:tcPr>
          <w:p w14:paraId="2B2DD196">
            <w:pPr>
              <w:widowControl/>
              <w:jc w:val="center"/>
              <w:textAlignment w:val="center"/>
              <w:rPr>
                <w:rFonts w:hint="eastAsia" w:ascii="仿宋" w:hAnsi="仿宋" w:eastAsia="仿宋" w:cs="宋体"/>
                <w:b/>
                <w:bCs/>
                <w:kern w:val="0"/>
                <w:szCs w:val="21"/>
                <w:lang w:bidi="ar"/>
              </w:rPr>
            </w:pPr>
            <w:r>
              <w:rPr>
                <w:rFonts w:hint="eastAsia" w:ascii="仿宋" w:hAnsi="仿宋" w:eastAsia="仿宋" w:cs="宋体"/>
                <w:b/>
                <w:bCs/>
                <w:kern w:val="0"/>
                <w:szCs w:val="21"/>
                <w:lang w:bidi="ar"/>
              </w:rPr>
              <w:t>关联交易内容</w:t>
            </w:r>
          </w:p>
        </w:tc>
        <w:tc>
          <w:tcPr>
            <w:tcW w:w="1228" w:type="dxa"/>
            <w:vAlign w:val="center"/>
          </w:tcPr>
          <w:p w14:paraId="39EF81DA">
            <w:pPr>
              <w:widowControl/>
              <w:jc w:val="center"/>
              <w:textAlignment w:val="center"/>
              <w:rPr>
                <w:rFonts w:hint="eastAsia" w:ascii="仿宋" w:hAnsi="仿宋" w:eastAsia="仿宋" w:cs="宋体"/>
                <w:b/>
                <w:bCs/>
                <w:kern w:val="0"/>
                <w:szCs w:val="21"/>
                <w:lang w:bidi="ar"/>
              </w:rPr>
            </w:pPr>
            <w:r>
              <w:rPr>
                <w:rFonts w:hint="eastAsia" w:ascii="仿宋" w:hAnsi="仿宋" w:eastAsia="仿宋" w:cs="宋体"/>
                <w:b/>
                <w:bCs/>
                <w:kern w:val="0"/>
                <w:szCs w:val="21"/>
                <w:lang w:bidi="ar"/>
              </w:rPr>
              <w:t>2025实际发生交易金额（万元）</w:t>
            </w:r>
          </w:p>
        </w:tc>
        <w:tc>
          <w:tcPr>
            <w:tcW w:w="1174" w:type="dxa"/>
            <w:vAlign w:val="center"/>
          </w:tcPr>
          <w:p w14:paraId="331EBF82">
            <w:pPr>
              <w:widowControl/>
              <w:jc w:val="center"/>
              <w:textAlignment w:val="center"/>
              <w:rPr>
                <w:rFonts w:hint="eastAsia" w:ascii="仿宋" w:hAnsi="仿宋" w:eastAsia="仿宋" w:cs="宋体"/>
                <w:b/>
                <w:bCs/>
                <w:kern w:val="0"/>
                <w:szCs w:val="21"/>
                <w:lang w:bidi="ar"/>
              </w:rPr>
            </w:pPr>
            <w:r>
              <w:rPr>
                <w:rFonts w:hint="eastAsia" w:ascii="仿宋" w:hAnsi="仿宋" w:eastAsia="仿宋" w:cs="宋体"/>
                <w:b/>
                <w:bCs/>
                <w:kern w:val="0"/>
                <w:szCs w:val="21"/>
                <w:lang w:bidi="ar"/>
              </w:rPr>
              <w:t>2025年预计交易金额（万元）</w:t>
            </w:r>
          </w:p>
        </w:tc>
        <w:tc>
          <w:tcPr>
            <w:tcW w:w="1001" w:type="dxa"/>
            <w:vAlign w:val="center"/>
          </w:tcPr>
          <w:p w14:paraId="3274B33B">
            <w:pPr>
              <w:widowControl/>
              <w:jc w:val="center"/>
              <w:textAlignment w:val="center"/>
              <w:rPr>
                <w:rFonts w:hint="eastAsia" w:ascii="仿宋" w:hAnsi="仿宋" w:eastAsia="仿宋" w:cs="宋体"/>
                <w:b/>
                <w:bCs/>
                <w:kern w:val="0"/>
                <w:szCs w:val="21"/>
                <w:lang w:bidi="ar"/>
              </w:rPr>
            </w:pPr>
            <w:r>
              <w:rPr>
                <w:rFonts w:hint="eastAsia" w:ascii="仿宋" w:hAnsi="仿宋" w:eastAsia="仿宋" w:cs="宋体"/>
                <w:b/>
                <w:bCs/>
                <w:kern w:val="0"/>
                <w:szCs w:val="21"/>
                <w:lang w:bidi="ar"/>
              </w:rPr>
              <w:t>实际发生额占同类业务比例（%）</w:t>
            </w:r>
          </w:p>
        </w:tc>
        <w:tc>
          <w:tcPr>
            <w:tcW w:w="1000" w:type="dxa"/>
            <w:vAlign w:val="center"/>
          </w:tcPr>
          <w:p w14:paraId="2A0F5D78">
            <w:pPr>
              <w:widowControl/>
              <w:jc w:val="center"/>
              <w:textAlignment w:val="center"/>
              <w:rPr>
                <w:rFonts w:hint="eastAsia" w:ascii="仿宋" w:hAnsi="仿宋" w:eastAsia="仿宋" w:cs="宋体"/>
                <w:b/>
                <w:bCs/>
                <w:kern w:val="0"/>
                <w:szCs w:val="21"/>
                <w:lang w:bidi="ar"/>
              </w:rPr>
            </w:pPr>
            <w:r>
              <w:rPr>
                <w:rFonts w:hint="eastAsia" w:ascii="仿宋" w:hAnsi="仿宋" w:eastAsia="仿宋" w:cs="宋体"/>
                <w:b/>
                <w:bCs/>
                <w:kern w:val="0"/>
                <w:szCs w:val="21"/>
                <w:lang w:bidi="ar"/>
              </w:rPr>
              <w:t>实际发生额与预计金额差异（%）</w:t>
            </w:r>
          </w:p>
        </w:tc>
        <w:tc>
          <w:tcPr>
            <w:tcW w:w="1603" w:type="dxa"/>
            <w:vAlign w:val="center"/>
          </w:tcPr>
          <w:p w14:paraId="2A93E976">
            <w:pPr>
              <w:widowControl/>
              <w:jc w:val="center"/>
              <w:textAlignment w:val="center"/>
              <w:rPr>
                <w:rFonts w:hint="eastAsia" w:ascii="仿宋" w:hAnsi="仿宋" w:eastAsia="仿宋"/>
                <w:b/>
                <w:szCs w:val="21"/>
              </w:rPr>
            </w:pPr>
            <w:r>
              <w:rPr>
                <w:rFonts w:hint="eastAsia" w:ascii="仿宋" w:hAnsi="仿宋" w:eastAsia="仿宋" w:cs="宋体"/>
                <w:b/>
                <w:bCs/>
                <w:kern w:val="0"/>
                <w:szCs w:val="21"/>
                <w:lang w:bidi="ar"/>
              </w:rPr>
              <w:t>披露日期及索引</w:t>
            </w:r>
          </w:p>
        </w:tc>
      </w:tr>
      <w:tr w14:paraId="1791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54C0BA0F">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向关联方销售商品</w:t>
            </w:r>
          </w:p>
        </w:tc>
        <w:tc>
          <w:tcPr>
            <w:tcW w:w="1549" w:type="dxa"/>
            <w:vAlign w:val="center"/>
          </w:tcPr>
          <w:p w14:paraId="2A611B50">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保利集团控制的企业（含其他受控股股东保利久联控制的关联企业）</w:t>
            </w:r>
          </w:p>
        </w:tc>
        <w:tc>
          <w:tcPr>
            <w:tcW w:w="938" w:type="dxa"/>
            <w:vAlign w:val="center"/>
          </w:tcPr>
          <w:p w14:paraId="28B78427">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销售商品</w:t>
            </w:r>
          </w:p>
        </w:tc>
        <w:tc>
          <w:tcPr>
            <w:tcW w:w="1228" w:type="dxa"/>
            <w:vAlign w:val="center"/>
          </w:tcPr>
          <w:p w14:paraId="43D041BC">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 xml:space="preserve"> 9,138.06 </w:t>
            </w:r>
          </w:p>
        </w:tc>
        <w:tc>
          <w:tcPr>
            <w:tcW w:w="1174" w:type="dxa"/>
            <w:vAlign w:val="center"/>
          </w:tcPr>
          <w:p w14:paraId="3815B138">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10,600</w:t>
            </w:r>
          </w:p>
        </w:tc>
        <w:tc>
          <w:tcPr>
            <w:tcW w:w="1001" w:type="dxa"/>
            <w:vAlign w:val="center"/>
          </w:tcPr>
          <w:p w14:paraId="11C6E5B0">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3.16%</w:t>
            </w:r>
          </w:p>
        </w:tc>
        <w:tc>
          <w:tcPr>
            <w:tcW w:w="1000" w:type="dxa"/>
            <w:vAlign w:val="center"/>
          </w:tcPr>
          <w:p w14:paraId="0265CBD2">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-13.79%</w:t>
            </w:r>
          </w:p>
        </w:tc>
        <w:tc>
          <w:tcPr>
            <w:tcW w:w="1603" w:type="dxa"/>
            <w:vMerge w:val="restart"/>
            <w:vAlign w:val="center"/>
          </w:tcPr>
          <w:p w14:paraId="1E8E7865">
            <w:pPr>
              <w:widowControl/>
              <w:jc w:val="center"/>
              <w:textAlignment w:val="center"/>
              <w:rPr>
                <w:rFonts w:hint="eastAsia" w:ascii="仿宋" w:hAnsi="仿宋" w:eastAsia="仿宋"/>
                <w:b/>
                <w:szCs w:val="21"/>
              </w:rPr>
            </w:pPr>
            <w:r>
              <w:rPr>
                <w:rFonts w:hint="eastAsia" w:ascii="仿宋" w:hAnsi="仿宋" w:eastAsia="仿宋" w:cs="宋体"/>
                <w:kern w:val="0"/>
                <w:szCs w:val="21"/>
                <w:lang w:bidi="ar"/>
              </w:rPr>
              <w:t>2025年4月25日中国证券报、证券时报及巨潮资讯网（公告编号：2025-15）</w:t>
            </w:r>
          </w:p>
        </w:tc>
      </w:tr>
      <w:tr w14:paraId="45C6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23C80426">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向关联方采购商品</w:t>
            </w:r>
          </w:p>
        </w:tc>
        <w:tc>
          <w:tcPr>
            <w:tcW w:w="1549" w:type="dxa"/>
            <w:vAlign w:val="center"/>
          </w:tcPr>
          <w:p w14:paraId="1AB3036A">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保利集团控制的企业（含其他受控股股东保利久联控制的关联企业）</w:t>
            </w:r>
          </w:p>
        </w:tc>
        <w:tc>
          <w:tcPr>
            <w:tcW w:w="938" w:type="dxa"/>
            <w:vAlign w:val="center"/>
          </w:tcPr>
          <w:p w14:paraId="237EE444">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采购商品</w:t>
            </w:r>
          </w:p>
        </w:tc>
        <w:tc>
          <w:tcPr>
            <w:tcW w:w="1228" w:type="dxa"/>
            <w:vAlign w:val="center"/>
          </w:tcPr>
          <w:p w14:paraId="19C2F666">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 xml:space="preserve">31,476.78 </w:t>
            </w:r>
          </w:p>
        </w:tc>
        <w:tc>
          <w:tcPr>
            <w:tcW w:w="1174" w:type="dxa"/>
            <w:vAlign w:val="center"/>
          </w:tcPr>
          <w:p w14:paraId="61C068E7">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60,000</w:t>
            </w:r>
          </w:p>
        </w:tc>
        <w:tc>
          <w:tcPr>
            <w:tcW w:w="1001" w:type="dxa"/>
            <w:vAlign w:val="center"/>
          </w:tcPr>
          <w:p w14:paraId="384B96FE">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9.43%</w:t>
            </w:r>
          </w:p>
        </w:tc>
        <w:tc>
          <w:tcPr>
            <w:tcW w:w="1000" w:type="dxa"/>
            <w:vAlign w:val="center"/>
          </w:tcPr>
          <w:p w14:paraId="15A0A13D">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-47.54%</w:t>
            </w:r>
          </w:p>
        </w:tc>
        <w:tc>
          <w:tcPr>
            <w:tcW w:w="1603" w:type="dxa"/>
            <w:vMerge w:val="continue"/>
            <w:vAlign w:val="center"/>
          </w:tcPr>
          <w:p w14:paraId="17EB18CF">
            <w:pPr>
              <w:widowControl/>
              <w:jc w:val="center"/>
              <w:textAlignment w:val="center"/>
              <w:rPr>
                <w:rFonts w:hint="eastAsia" w:ascii="仿宋" w:hAnsi="仿宋" w:eastAsia="仿宋"/>
                <w:b/>
                <w:szCs w:val="21"/>
              </w:rPr>
            </w:pPr>
          </w:p>
        </w:tc>
      </w:tr>
      <w:tr w14:paraId="5751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323B4DB6">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向关联方提供劳务、接受关联方劳务</w:t>
            </w:r>
          </w:p>
        </w:tc>
        <w:tc>
          <w:tcPr>
            <w:tcW w:w="1549" w:type="dxa"/>
            <w:vAlign w:val="center"/>
          </w:tcPr>
          <w:p w14:paraId="6FD2920E">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保利集团控制的企业（含其他受控股股东保利久联控制的关联企业）</w:t>
            </w:r>
          </w:p>
        </w:tc>
        <w:tc>
          <w:tcPr>
            <w:tcW w:w="938" w:type="dxa"/>
            <w:vAlign w:val="center"/>
          </w:tcPr>
          <w:p w14:paraId="11895343">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提供劳务、接受劳务</w:t>
            </w:r>
          </w:p>
        </w:tc>
        <w:tc>
          <w:tcPr>
            <w:tcW w:w="1228" w:type="dxa"/>
            <w:vAlign w:val="center"/>
          </w:tcPr>
          <w:p w14:paraId="724730D9">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 xml:space="preserve">22,566.70 </w:t>
            </w:r>
          </w:p>
        </w:tc>
        <w:tc>
          <w:tcPr>
            <w:tcW w:w="1174" w:type="dxa"/>
            <w:vAlign w:val="center"/>
          </w:tcPr>
          <w:p w14:paraId="6AD742F8">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31,000</w:t>
            </w:r>
          </w:p>
        </w:tc>
        <w:tc>
          <w:tcPr>
            <w:tcW w:w="1001" w:type="dxa"/>
            <w:vAlign w:val="center"/>
          </w:tcPr>
          <w:p w14:paraId="64F388CC">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20.33%</w:t>
            </w:r>
          </w:p>
        </w:tc>
        <w:tc>
          <w:tcPr>
            <w:tcW w:w="1000" w:type="dxa"/>
            <w:vAlign w:val="center"/>
          </w:tcPr>
          <w:p w14:paraId="7984405C">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-27.20%</w:t>
            </w:r>
          </w:p>
        </w:tc>
        <w:tc>
          <w:tcPr>
            <w:tcW w:w="1603" w:type="dxa"/>
            <w:vMerge w:val="continue"/>
            <w:vAlign w:val="center"/>
          </w:tcPr>
          <w:p w14:paraId="64B8D7EC">
            <w:pPr>
              <w:widowControl/>
              <w:jc w:val="center"/>
              <w:textAlignment w:val="center"/>
              <w:rPr>
                <w:rFonts w:hint="eastAsia" w:ascii="仿宋" w:hAnsi="仿宋" w:eastAsia="仿宋"/>
                <w:b/>
                <w:szCs w:val="21"/>
              </w:rPr>
            </w:pPr>
          </w:p>
        </w:tc>
      </w:tr>
      <w:tr w14:paraId="0B45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350C7AFB">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向关联方提供租赁、接受关联方租赁</w:t>
            </w:r>
          </w:p>
        </w:tc>
        <w:tc>
          <w:tcPr>
            <w:tcW w:w="1549" w:type="dxa"/>
            <w:vAlign w:val="center"/>
          </w:tcPr>
          <w:p w14:paraId="1A0CE5E8">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保利集团控制的企业（含其他受控股股东保利久联控制的关联企业）</w:t>
            </w:r>
          </w:p>
        </w:tc>
        <w:tc>
          <w:tcPr>
            <w:tcW w:w="938" w:type="dxa"/>
            <w:vAlign w:val="center"/>
          </w:tcPr>
          <w:p w14:paraId="39189B26">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提供租赁、接受租赁</w:t>
            </w:r>
          </w:p>
        </w:tc>
        <w:tc>
          <w:tcPr>
            <w:tcW w:w="1228" w:type="dxa"/>
            <w:vAlign w:val="center"/>
          </w:tcPr>
          <w:p w14:paraId="6DC31C3D">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 xml:space="preserve"> 1,123.17 </w:t>
            </w:r>
          </w:p>
        </w:tc>
        <w:tc>
          <w:tcPr>
            <w:tcW w:w="1174" w:type="dxa"/>
            <w:vAlign w:val="center"/>
          </w:tcPr>
          <w:p w14:paraId="31FFC72D">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1,400</w:t>
            </w:r>
          </w:p>
        </w:tc>
        <w:tc>
          <w:tcPr>
            <w:tcW w:w="1001" w:type="dxa"/>
            <w:vAlign w:val="center"/>
          </w:tcPr>
          <w:p w14:paraId="0CEBF814">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54.91%</w:t>
            </w:r>
          </w:p>
        </w:tc>
        <w:tc>
          <w:tcPr>
            <w:tcW w:w="1000" w:type="dxa"/>
            <w:vAlign w:val="center"/>
          </w:tcPr>
          <w:p w14:paraId="51D063AE">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-19.77%</w:t>
            </w:r>
          </w:p>
        </w:tc>
        <w:tc>
          <w:tcPr>
            <w:tcW w:w="1603" w:type="dxa"/>
            <w:vMerge w:val="continue"/>
            <w:vAlign w:val="center"/>
          </w:tcPr>
          <w:p w14:paraId="0346DDF3">
            <w:pPr>
              <w:widowControl/>
              <w:jc w:val="center"/>
              <w:textAlignment w:val="center"/>
              <w:rPr>
                <w:rFonts w:hint="eastAsia" w:ascii="仿宋" w:hAnsi="仿宋" w:eastAsia="仿宋"/>
                <w:b/>
                <w:szCs w:val="21"/>
              </w:rPr>
            </w:pPr>
          </w:p>
        </w:tc>
      </w:tr>
      <w:tr w14:paraId="6261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3"/>
            <w:vAlign w:val="center"/>
          </w:tcPr>
          <w:p w14:paraId="1B7CC6EC">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合计</w:t>
            </w:r>
          </w:p>
        </w:tc>
        <w:tc>
          <w:tcPr>
            <w:tcW w:w="1228" w:type="dxa"/>
            <w:vAlign w:val="center"/>
          </w:tcPr>
          <w:p w14:paraId="74FD3512">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 xml:space="preserve">64,304.71 </w:t>
            </w:r>
          </w:p>
        </w:tc>
        <w:tc>
          <w:tcPr>
            <w:tcW w:w="1174" w:type="dxa"/>
            <w:vAlign w:val="center"/>
          </w:tcPr>
          <w:p w14:paraId="3D0929F2">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103,000</w:t>
            </w:r>
          </w:p>
        </w:tc>
        <w:tc>
          <w:tcPr>
            <w:tcW w:w="1001" w:type="dxa"/>
            <w:vAlign w:val="center"/>
          </w:tcPr>
          <w:p w14:paraId="15AC01D1">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8.74%</w:t>
            </w:r>
          </w:p>
        </w:tc>
        <w:tc>
          <w:tcPr>
            <w:tcW w:w="1000" w:type="dxa"/>
            <w:vAlign w:val="center"/>
          </w:tcPr>
          <w:p w14:paraId="289F6761">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-37.57%</w:t>
            </w:r>
          </w:p>
        </w:tc>
        <w:tc>
          <w:tcPr>
            <w:tcW w:w="1603" w:type="dxa"/>
            <w:vAlign w:val="center"/>
          </w:tcPr>
          <w:p w14:paraId="47E36527">
            <w:pPr>
              <w:rPr>
                <w:rFonts w:hint="eastAsia" w:ascii="仿宋" w:hAnsi="仿宋" w:eastAsia="仿宋"/>
                <w:bCs/>
                <w:szCs w:val="21"/>
              </w:rPr>
            </w:pPr>
          </w:p>
        </w:tc>
      </w:tr>
      <w:tr w14:paraId="40CE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3"/>
            <w:vAlign w:val="center"/>
          </w:tcPr>
          <w:p w14:paraId="14976545">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公司董事会对日常关联交易实际发生情况与预计存在较大差异的说明</w:t>
            </w:r>
          </w:p>
        </w:tc>
        <w:tc>
          <w:tcPr>
            <w:tcW w:w="6006" w:type="dxa"/>
            <w:gridSpan w:val="5"/>
            <w:vAlign w:val="center"/>
          </w:tcPr>
          <w:p w14:paraId="3D5CAA42">
            <w:pPr>
              <w:widowControl/>
              <w:jc w:val="left"/>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2025年度，公司与上述关联方日常关联交易的实际发生总金额未超过预计总金额。个别单项实际发生情况与预计存在较大差异的原因为：公司与关联方的年度日常关联交易预计是年初对公司全年业务开展进行的初步判断，因此与实际发生情况存在一定的差异。</w:t>
            </w:r>
          </w:p>
          <w:p w14:paraId="4A3FAF06">
            <w:pPr>
              <w:widowControl/>
              <w:jc w:val="left"/>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公司2025年度日常关联交易均属于正常的经营行为，不会对公司日常经营及业绩产生较大影响，不存在损害公司和非关联股东利益的情形。</w:t>
            </w:r>
          </w:p>
        </w:tc>
      </w:tr>
      <w:tr w14:paraId="0A25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3"/>
            <w:vAlign w:val="center"/>
          </w:tcPr>
          <w:p w14:paraId="352B8D80">
            <w:pPr>
              <w:widowControl/>
              <w:jc w:val="center"/>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公司独立董事对日常关联交易实际发生情况与预计存在较大差异的说明</w:t>
            </w:r>
          </w:p>
        </w:tc>
        <w:tc>
          <w:tcPr>
            <w:tcW w:w="6006" w:type="dxa"/>
            <w:gridSpan w:val="5"/>
            <w:vAlign w:val="center"/>
          </w:tcPr>
          <w:p w14:paraId="622C7F94">
            <w:pPr>
              <w:widowControl/>
              <w:jc w:val="left"/>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经核查，公司董事会对2025年度日常关联交易个别单项实际发生情况与预计存在差异的说明符合公司的实际情况，关联交易遵循了“公平、公正、公允”的原则，交易事项符合市场原则，交易定价公允合理，不存在损害公司及全体股东利益情况。</w:t>
            </w:r>
          </w:p>
        </w:tc>
      </w:tr>
    </w:tbl>
    <w:p w14:paraId="0A13DF1E">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2025年与单一关联人发生交易金额在300万以上且达到上市公司上一年度经审计净资产0.5%的情况。</w:t>
      </w:r>
    </w:p>
    <w:tbl>
      <w:tblPr>
        <w:tblStyle w:val="6"/>
        <w:tblW w:w="9368" w:type="dxa"/>
        <w:tblInd w:w="-366" w:type="dxa"/>
        <w:tblLayout w:type="fixed"/>
        <w:tblCellMar>
          <w:top w:w="0" w:type="dxa"/>
          <w:left w:w="108" w:type="dxa"/>
          <w:bottom w:w="0" w:type="dxa"/>
          <w:right w:w="108" w:type="dxa"/>
        </w:tblCellMar>
      </w:tblPr>
      <w:tblGrid>
        <w:gridCol w:w="1539"/>
        <w:gridCol w:w="1723"/>
        <w:gridCol w:w="1245"/>
        <w:gridCol w:w="2385"/>
        <w:gridCol w:w="2476"/>
      </w:tblGrid>
      <w:tr w14:paraId="5F83F9BA">
        <w:tblPrEx>
          <w:tblCellMar>
            <w:top w:w="0" w:type="dxa"/>
            <w:left w:w="108" w:type="dxa"/>
            <w:bottom w:w="0" w:type="dxa"/>
            <w:right w:w="108" w:type="dxa"/>
          </w:tblCellMar>
        </w:tblPrEx>
        <w:trPr>
          <w:trHeight w:val="585" w:hRule="atLeast"/>
        </w:trPr>
        <w:tc>
          <w:tcPr>
            <w:tcW w:w="1539" w:type="dxa"/>
            <w:tcBorders>
              <w:top w:val="single" w:color="000000" w:sz="8" w:space="0"/>
              <w:left w:val="single" w:color="000000" w:sz="8" w:space="0"/>
              <w:bottom w:val="nil"/>
              <w:right w:val="single" w:color="000000" w:sz="8" w:space="0"/>
            </w:tcBorders>
            <w:vAlign w:val="center"/>
          </w:tcPr>
          <w:p w14:paraId="55991C38">
            <w:pPr>
              <w:widowControl/>
              <w:jc w:val="center"/>
              <w:textAlignment w:val="center"/>
              <w:rPr>
                <w:rFonts w:hint="eastAsia" w:ascii="仿宋_GB2312" w:hAnsi="宋体" w:eastAsia="仿宋_GB2312" w:cs="仿宋_GB2312"/>
                <w:b/>
                <w:bCs/>
                <w:sz w:val="24"/>
              </w:rPr>
            </w:pPr>
            <w:r>
              <w:rPr>
                <w:rFonts w:hint="eastAsia" w:ascii="仿宋_GB2312" w:hAnsi="宋体" w:eastAsia="仿宋_GB2312" w:cs="仿宋_GB2312"/>
                <w:b/>
                <w:bCs/>
                <w:kern w:val="0"/>
                <w:sz w:val="24"/>
                <w:lang w:bidi="ar"/>
              </w:rPr>
              <w:t>关联交易类别</w:t>
            </w:r>
          </w:p>
        </w:tc>
        <w:tc>
          <w:tcPr>
            <w:tcW w:w="1723" w:type="dxa"/>
            <w:tcBorders>
              <w:top w:val="single" w:color="000000" w:sz="8" w:space="0"/>
              <w:left w:val="nil"/>
              <w:bottom w:val="nil"/>
              <w:right w:val="single" w:color="000000" w:sz="8" w:space="0"/>
            </w:tcBorders>
            <w:vAlign w:val="center"/>
          </w:tcPr>
          <w:p w14:paraId="350818CE">
            <w:pPr>
              <w:widowControl/>
              <w:jc w:val="center"/>
              <w:textAlignment w:val="center"/>
              <w:rPr>
                <w:rFonts w:hint="eastAsia" w:ascii="仿宋_GB2312" w:hAnsi="宋体" w:eastAsia="仿宋_GB2312" w:cs="仿宋_GB2312"/>
                <w:b/>
                <w:bCs/>
                <w:sz w:val="24"/>
              </w:rPr>
            </w:pPr>
            <w:r>
              <w:rPr>
                <w:rFonts w:hint="eastAsia" w:ascii="仿宋_GB2312" w:hAnsi="宋体" w:eastAsia="仿宋_GB2312" w:cs="仿宋_GB2312"/>
                <w:b/>
                <w:bCs/>
                <w:kern w:val="0"/>
                <w:sz w:val="24"/>
                <w:lang w:bidi="ar"/>
              </w:rPr>
              <w:t>关联人</w:t>
            </w:r>
          </w:p>
        </w:tc>
        <w:tc>
          <w:tcPr>
            <w:tcW w:w="1245" w:type="dxa"/>
            <w:tcBorders>
              <w:top w:val="single" w:color="000000" w:sz="8" w:space="0"/>
              <w:left w:val="nil"/>
              <w:bottom w:val="nil"/>
              <w:right w:val="single" w:color="000000" w:sz="8" w:space="0"/>
            </w:tcBorders>
            <w:vAlign w:val="center"/>
          </w:tcPr>
          <w:p w14:paraId="07F25081">
            <w:pPr>
              <w:widowControl/>
              <w:jc w:val="center"/>
              <w:textAlignment w:val="center"/>
              <w:rPr>
                <w:rFonts w:hint="eastAsia" w:ascii="仿宋_GB2312" w:hAnsi="宋体" w:eastAsia="仿宋_GB2312" w:cs="仿宋_GB2312"/>
                <w:b/>
                <w:bCs/>
                <w:sz w:val="24"/>
              </w:rPr>
            </w:pPr>
            <w:r>
              <w:rPr>
                <w:rFonts w:hint="eastAsia" w:ascii="仿宋_GB2312" w:hAnsi="宋体" w:eastAsia="仿宋_GB2312" w:cs="仿宋_GB2312"/>
                <w:b/>
                <w:bCs/>
                <w:kern w:val="0"/>
                <w:sz w:val="24"/>
                <w:lang w:bidi="ar"/>
              </w:rPr>
              <w:t>关联交易内容</w:t>
            </w:r>
          </w:p>
        </w:tc>
        <w:tc>
          <w:tcPr>
            <w:tcW w:w="2385" w:type="dxa"/>
            <w:tcBorders>
              <w:top w:val="single" w:color="000000" w:sz="8" w:space="0"/>
              <w:left w:val="nil"/>
              <w:bottom w:val="nil"/>
              <w:right w:val="single" w:color="000000" w:sz="8" w:space="0"/>
            </w:tcBorders>
            <w:vAlign w:val="center"/>
          </w:tcPr>
          <w:p w14:paraId="55FFF154">
            <w:pPr>
              <w:widowControl/>
              <w:jc w:val="center"/>
              <w:textAlignment w:val="center"/>
              <w:rPr>
                <w:rFonts w:hint="eastAsia" w:ascii="仿宋_GB2312" w:hAnsi="宋体" w:eastAsia="仿宋_GB2312" w:cs="仿宋_GB2312"/>
                <w:b/>
                <w:bCs/>
                <w:sz w:val="24"/>
              </w:rPr>
            </w:pPr>
            <w:r>
              <w:rPr>
                <w:rFonts w:hint="eastAsia" w:ascii="仿宋_GB2312" w:hAnsi="宋体" w:eastAsia="仿宋_GB2312" w:cs="仿宋_GB2312"/>
                <w:b/>
                <w:bCs/>
                <w:kern w:val="0"/>
                <w:sz w:val="24"/>
                <w:lang w:bidi="ar"/>
              </w:rPr>
              <w:t>实际交易金额（万元）</w:t>
            </w:r>
          </w:p>
        </w:tc>
        <w:tc>
          <w:tcPr>
            <w:tcW w:w="2476" w:type="dxa"/>
            <w:tcBorders>
              <w:top w:val="single" w:color="000000" w:sz="8" w:space="0"/>
              <w:left w:val="nil"/>
              <w:bottom w:val="nil"/>
              <w:right w:val="single" w:color="000000" w:sz="8" w:space="0"/>
            </w:tcBorders>
            <w:vAlign w:val="center"/>
          </w:tcPr>
          <w:p w14:paraId="321B2621">
            <w:pPr>
              <w:widowControl/>
              <w:jc w:val="center"/>
              <w:textAlignment w:val="center"/>
              <w:rPr>
                <w:rFonts w:hint="eastAsia" w:ascii="仿宋_GB2312" w:hAnsi="宋体" w:eastAsia="仿宋_GB2312" w:cs="仿宋_GB2312"/>
                <w:b/>
                <w:bCs/>
                <w:sz w:val="24"/>
              </w:rPr>
            </w:pPr>
            <w:r>
              <w:rPr>
                <w:rFonts w:hint="eastAsia" w:ascii="仿宋_GB2312" w:hAnsi="宋体" w:eastAsia="仿宋_GB2312" w:cs="仿宋_GB2312"/>
                <w:b/>
                <w:bCs/>
                <w:kern w:val="0"/>
                <w:sz w:val="24"/>
                <w:lang w:bidi="ar"/>
              </w:rPr>
              <w:t>实际发生额占同类业务比例（%）</w:t>
            </w:r>
          </w:p>
        </w:tc>
      </w:tr>
      <w:tr w14:paraId="55D5442D">
        <w:tblPrEx>
          <w:tblCellMar>
            <w:top w:w="0" w:type="dxa"/>
            <w:left w:w="108" w:type="dxa"/>
            <w:bottom w:w="0" w:type="dxa"/>
            <w:right w:w="108" w:type="dxa"/>
          </w:tblCellMar>
        </w:tblPrEx>
        <w:trPr>
          <w:trHeight w:val="870" w:hRule="atLeast"/>
        </w:trPr>
        <w:tc>
          <w:tcPr>
            <w:tcW w:w="1539" w:type="dxa"/>
            <w:vMerge w:val="restart"/>
            <w:tcBorders>
              <w:top w:val="single" w:color="000000" w:sz="8" w:space="0"/>
              <w:left w:val="single" w:color="000000" w:sz="8" w:space="0"/>
              <w:bottom w:val="single" w:color="000000" w:sz="8" w:space="0"/>
              <w:right w:val="single" w:color="000000" w:sz="8" w:space="0"/>
            </w:tcBorders>
            <w:vAlign w:val="center"/>
          </w:tcPr>
          <w:p w14:paraId="06E0C80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向关联方销售商品</w:t>
            </w:r>
          </w:p>
        </w:tc>
        <w:tc>
          <w:tcPr>
            <w:tcW w:w="1723" w:type="dxa"/>
            <w:tcBorders>
              <w:top w:val="single" w:color="000000" w:sz="8" w:space="0"/>
              <w:left w:val="nil"/>
              <w:bottom w:val="single" w:color="000000" w:sz="8" w:space="0"/>
              <w:right w:val="single" w:color="000000" w:sz="8" w:space="0"/>
            </w:tcBorders>
            <w:vAlign w:val="center"/>
          </w:tcPr>
          <w:p w14:paraId="4CBCE78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保利民爆哈密有限公司</w:t>
            </w:r>
          </w:p>
        </w:tc>
        <w:tc>
          <w:tcPr>
            <w:tcW w:w="1245" w:type="dxa"/>
            <w:tcBorders>
              <w:top w:val="single" w:color="000000" w:sz="8" w:space="0"/>
              <w:left w:val="nil"/>
              <w:bottom w:val="single" w:color="000000" w:sz="8" w:space="0"/>
              <w:right w:val="single" w:color="000000" w:sz="8" w:space="0"/>
            </w:tcBorders>
            <w:vAlign w:val="center"/>
          </w:tcPr>
          <w:p w14:paraId="69A89BF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销售商品</w:t>
            </w:r>
          </w:p>
        </w:tc>
        <w:tc>
          <w:tcPr>
            <w:tcW w:w="2385" w:type="dxa"/>
            <w:tcBorders>
              <w:top w:val="single" w:color="000000" w:sz="8" w:space="0"/>
              <w:left w:val="nil"/>
              <w:bottom w:val="single" w:color="000000" w:sz="8" w:space="0"/>
              <w:right w:val="single" w:color="000000" w:sz="8" w:space="0"/>
            </w:tcBorders>
            <w:vAlign w:val="center"/>
          </w:tcPr>
          <w:p w14:paraId="0338274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4,380.16</w:t>
            </w:r>
          </w:p>
        </w:tc>
        <w:tc>
          <w:tcPr>
            <w:tcW w:w="2476" w:type="dxa"/>
            <w:tcBorders>
              <w:top w:val="single" w:color="000000" w:sz="8" w:space="0"/>
              <w:left w:val="nil"/>
              <w:bottom w:val="single" w:color="000000" w:sz="8" w:space="0"/>
              <w:right w:val="single" w:color="000000" w:sz="8" w:space="0"/>
            </w:tcBorders>
            <w:vAlign w:val="center"/>
          </w:tcPr>
          <w:p w14:paraId="36F2A12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1.52%</w:t>
            </w:r>
          </w:p>
        </w:tc>
      </w:tr>
      <w:tr w14:paraId="1FD6D309">
        <w:tblPrEx>
          <w:tblCellMar>
            <w:top w:w="0" w:type="dxa"/>
            <w:left w:w="108" w:type="dxa"/>
            <w:bottom w:w="0" w:type="dxa"/>
            <w:right w:w="108" w:type="dxa"/>
          </w:tblCellMar>
        </w:tblPrEx>
        <w:trPr>
          <w:trHeight w:val="1155" w:hRule="atLeast"/>
        </w:trPr>
        <w:tc>
          <w:tcPr>
            <w:tcW w:w="1539" w:type="dxa"/>
            <w:vMerge w:val="continue"/>
            <w:tcBorders>
              <w:top w:val="single" w:color="000000" w:sz="8" w:space="0"/>
              <w:left w:val="single" w:color="000000" w:sz="8" w:space="0"/>
              <w:bottom w:val="single" w:color="000000" w:sz="8" w:space="0"/>
              <w:right w:val="single" w:color="000000" w:sz="8" w:space="0"/>
            </w:tcBorders>
            <w:vAlign w:val="center"/>
          </w:tcPr>
          <w:p w14:paraId="047835FE">
            <w:pPr>
              <w:jc w:val="center"/>
              <w:rPr>
                <w:rFonts w:hint="eastAsia" w:ascii="仿宋_GB2312" w:hAnsi="宋体" w:eastAsia="仿宋_GB2312" w:cs="仿宋_GB2312"/>
                <w:sz w:val="24"/>
              </w:rPr>
            </w:pPr>
          </w:p>
        </w:tc>
        <w:tc>
          <w:tcPr>
            <w:tcW w:w="1723" w:type="dxa"/>
            <w:tcBorders>
              <w:top w:val="single" w:color="000000" w:sz="8" w:space="0"/>
              <w:left w:val="single" w:color="000000" w:sz="8" w:space="0"/>
              <w:bottom w:val="single" w:color="000000" w:sz="8" w:space="0"/>
              <w:right w:val="single" w:color="000000" w:sz="8" w:space="0"/>
            </w:tcBorders>
            <w:vAlign w:val="center"/>
          </w:tcPr>
          <w:p w14:paraId="481C76D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北京北阳世纪民爆工程有限公司</w:t>
            </w:r>
          </w:p>
        </w:tc>
        <w:tc>
          <w:tcPr>
            <w:tcW w:w="1245" w:type="dxa"/>
            <w:tcBorders>
              <w:top w:val="single" w:color="000000" w:sz="8" w:space="0"/>
              <w:left w:val="single" w:color="000000" w:sz="8" w:space="0"/>
              <w:bottom w:val="single" w:color="000000" w:sz="8" w:space="0"/>
              <w:right w:val="single" w:color="000000" w:sz="8" w:space="0"/>
            </w:tcBorders>
            <w:vAlign w:val="center"/>
          </w:tcPr>
          <w:p w14:paraId="6DA20BF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销售商品</w:t>
            </w:r>
          </w:p>
        </w:tc>
        <w:tc>
          <w:tcPr>
            <w:tcW w:w="2385" w:type="dxa"/>
            <w:tcBorders>
              <w:top w:val="single" w:color="000000" w:sz="8" w:space="0"/>
              <w:left w:val="single" w:color="000000" w:sz="8" w:space="0"/>
              <w:bottom w:val="single" w:color="000000" w:sz="8" w:space="0"/>
              <w:right w:val="single" w:color="000000" w:sz="8" w:space="0"/>
            </w:tcBorders>
            <w:vAlign w:val="center"/>
          </w:tcPr>
          <w:p w14:paraId="4C59B1F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1,512.96</w:t>
            </w:r>
          </w:p>
        </w:tc>
        <w:tc>
          <w:tcPr>
            <w:tcW w:w="2476" w:type="dxa"/>
            <w:tcBorders>
              <w:top w:val="single" w:color="000000" w:sz="8" w:space="0"/>
              <w:left w:val="single" w:color="000000" w:sz="8" w:space="0"/>
              <w:bottom w:val="single" w:color="000000" w:sz="8" w:space="0"/>
              <w:right w:val="single" w:color="000000" w:sz="8" w:space="0"/>
            </w:tcBorders>
            <w:vAlign w:val="center"/>
          </w:tcPr>
          <w:p w14:paraId="085B5D5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0.52%</w:t>
            </w:r>
          </w:p>
        </w:tc>
      </w:tr>
      <w:tr w14:paraId="241622E2">
        <w:tblPrEx>
          <w:tblCellMar>
            <w:top w:w="0" w:type="dxa"/>
            <w:left w:w="108" w:type="dxa"/>
            <w:bottom w:w="0" w:type="dxa"/>
            <w:right w:w="108" w:type="dxa"/>
          </w:tblCellMar>
        </w:tblPrEx>
        <w:trPr>
          <w:trHeight w:val="870" w:hRule="atLeast"/>
        </w:trPr>
        <w:tc>
          <w:tcPr>
            <w:tcW w:w="1539" w:type="dxa"/>
            <w:vMerge w:val="continue"/>
            <w:tcBorders>
              <w:top w:val="single" w:color="000000" w:sz="8" w:space="0"/>
              <w:left w:val="single" w:color="000000" w:sz="8" w:space="0"/>
              <w:bottom w:val="single" w:color="000000" w:sz="8" w:space="0"/>
              <w:right w:val="single" w:color="000000" w:sz="8" w:space="0"/>
            </w:tcBorders>
            <w:vAlign w:val="center"/>
          </w:tcPr>
          <w:p w14:paraId="3D231AB6">
            <w:pPr>
              <w:jc w:val="center"/>
              <w:rPr>
                <w:rFonts w:hint="eastAsia" w:ascii="仿宋_GB2312" w:hAnsi="宋体" w:eastAsia="仿宋_GB2312" w:cs="仿宋_GB2312"/>
                <w:sz w:val="24"/>
              </w:rPr>
            </w:pPr>
          </w:p>
        </w:tc>
        <w:tc>
          <w:tcPr>
            <w:tcW w:w="1723" w:type="dxa"/>
            <w:tcBorders>
              <w:top w:val="single" w:color="000000" w:sz="8" w:space="0"/>
              <w:left w:val="nil"/>
              <w:bottom w:val="single" w:color="000000" w:sz="8" w:space="0"/>
              <w:right w:val="single" w:color="000000" w:sz="8" w:space="0"/>
            </w:tcBorders>
            <w:vAlign w:val="center"/>
          </w:tcPr>
          <w:p w14:paraId="1CBA02D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新时代民爆辽宁有限公司</w:t>
            </w:r>
          </w:p>
        </w:tc>
        <w:tc>
          <w:tcPr>
            <w:tcW w:w="1245" w:type="dxa"/>
            <w:tcBorders>
              <w:top w:val="single" w:color="000000" w:sz="8" w:space="0"/>
              <w:left w:val="nil"/>
              <w:bottom w:val="single" w:color="000000" w:sz="8" w:space="0"/>
              <w:right w:val="single" w:color="000000" w:sz="8" w:space="0"/>
            </w:tcBorders>
            <w:vAlign w:val="center"/>
          </w:tcPr>
          <w:p w14:paraId="7EBAF67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销售商品</w:t>
            </w:r>
          </w:p>
        </w:tc>
        <w:tc>
          <w:tcPr>
            <w:tcW w:w="2385" w:type="dxa"/>
            <w:tcBorders>
              <w:top w:val="single" w:color="000000" w:sz="8" w:space="0"/>
              <w:left w:val="nil"/>
              <w:bottom w:val="single" w:color="000000" w:sz="8" w:space="0"/>
              <w:right w:val="single" w:color="000000" w:sz="8" w:space="0"/>
            </w:tcBorders>
            <w:vAlign w:val="center"/>
          </w:tcPr>
          <w:p w14:paraId="3254FC4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2,837.19</w:t>
            </w:r>
          </w:p>
        </w:tc>
        <w:tc>
          <w:tcPr>
            <w:tcW w:w="2476" w:type="dxa"/>
            <w:tcBorders>
              <w:top w:val="single" w:color="000000" w:sz="8" w:space="0"/>
              <w:left w:val="nil"/>
              <w:bottom w:val="single" w:color="000000" w:sz="8" w:space="0"/>
              <w:right w:val="single" w:color="000000" w:sz="8" w:space="0"/>
            </w:tcBorders>
            <w:vAlign w:val="center"/>
          </w:tcPr>
          <w:p w14:paraId="33BB664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0.98%</w:t>
            </w:r>
          </w:p>
        </w:tc>
      </w:tr>
      <w:tr w14:paraId="04662B2D">
        <w:tblPrEx>
          <w:tblCellMar>
            <w:top w:w="0" w:type="dxa"/>
            <w:left w:w="108" w:type="dxa"/>
            <w:bottom w:w="0" w:type="dxa"/>
            <w:right w:w="108" w:type="dxa"/>
          </w:tblCellMar>
        </w:tblPrEx>
        <w:trPr>
          <w:trHeight w:val="870" w:hRule="atLeast"/>
        </w:trPr>
        <w:tc>
          <w:tcPr>
            <w:tcW w:w="1539" w:type="dxa"/>
            <w:vMerge w:val="restart"/>
            <w:tcBorders>
              <w:top w:val="nil"/>
              <w:left w:val="single" w:color="000000" w:sz="8" w:space="0"/>
              <w:bottom w:val="single" w:color="000000" w:sz="8" w:space="0"/>
              <w:right w:val="single" w:color="000000" w:sz="8" w:space="0"/>
            </w:tcBorders>
            <w:vAlign w:val="center"/>
          </w:tcPr>
          <w:p w14:paraId="67CC486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向关联方采购商品</w:t>
            </w:r>
          </w:p>
        </w:tc>
        <w:tc>
          <w:tcPr>
            <w:tcW w:w="1723" w:type="dxa"/>
            <w:tcBorders>
              <w:top w:val="nil"/>
              <w:left w:val="nil"/>
              <w:bottom w:val="single" w:color="000000" w:sz="8" w:space="0"/>
              <w:right w:val="single" w:color="000000" w:sz="8" w:space="0"/>
            </w:tcBorders>
            <w:vAlign w:val="center"/>
          </w:tcPr>
          <w:p w14:paraId="2FDD6B6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保利化工控股有限公司</w:t>
            </w:r>
          </w:p>
        </w:tc>
        <w:tc>
          <w:tcPr>
            <w:tcW w:w="1245" w:type="dxa"/>
            <w:tcBorders>
              <w:top w:val="nil"/>
              <w:left w:val="nil"/>
              <w:bottom w:val="single" w:color="000000" w:sz="8" w:space="0"/>
              <w:right w:val="single" w:color="000000" w:sz="8" w:space="0"/>
            </w:tcBorders>
            <w:vAlign w:val="center"/>
          </w:tcPr>
          <w:p w14:paraId="66BB7D2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采购商品</w:t>
            </w:r>
          </w:p>
        </w:tc>
        <w:tc>
          <w:tcPr>
            <w:tcW w:w="2385" w:type="dxa"/>
            <w:tcBorders>
              <w:top w:val="nil"/>
              <w:left w:val="nil"/>
              <w:bottom w:val="single" w:color="000000" w:sz="8" w:space="0"/>
              <w:right w:val="single" w:color="000000" w:sz="8" w:space="0"/>
            </w:tcBorders>
            <w:vAlign w:val="center"/>
          </w:tcPr>
          <w:p w14:paraId="0A26613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26,814.31</w:t>
            </w:r>
          </w:p>
        </w:tc>
        <w:tc>
          <w:tcPr>
            <w:tcW w:w="2476" w:type="dxa"/>
            <w:tcBorders>
              <w:top w:val="nil"/>
              <w:left w:val="nil"/>
              <w:bottom w:val="single" w:color="000000" w:sz="8" w:space="0"/>
              <w:right w:val="single" w:color="000000" w:sz="8" w:space="0"/>
            </w:tcBorders>
            <w:vAlign w:val="center"/>
          </w:tcPr>
          <w:p w14:paraId="62B4848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8.03%</w:t>
            </w:r>
          </w:p>
        </w:tc>
      </w:tr>
      <w:tr w14:paraId="690E56CD">
        <w:tblPrEx>
          <w:tblCellMar>
            <w:top w:w="0" w:type="dxa"/>
            <w:left w:w="108" w:type="dxa"/>
            <w:bottom w:w="0" w:type="dxa"/>
            <w:right w:w="108" w:type="dxa"/>
          </w:tblCellMar>
        </w:tblPrEx>
        <w:trPr>
          <w:trHeight w:val="870" w:hRule="atLeast"/>
        </w:trPr>
        <w:tc>
          <w:tcPr>
            <w:tcW w:w="1539" w:type="dxa"/>
            <w:vMerge w:val="continue"/>
            <w:tcBorders>
              <w:top w:val="nil"/>
              <w:left w:val="single" w:color="000000" w:sz="8" w:space="0"/>
              <w:bottom w:val="single" w:color="000000" w:sz="8" w:space="0"/>
              <w:right w:val="single" w:color="000000" w:sz="8" w:space="0"/>
            </w:tcBorders>
            <w:vAlign w:val="center"/>
          </w:tcPr>
          <w:p w14:paraId="7E49BEE9">
            <w:pPr>
              <w:jc w:val="center"/>
              <w:rPr>
                <w:rFonts w:hint="eastAsia" w:ascii="仿宋_GB2312" w:hAnsi="宋体" w:eastAsia="仿宋_GB2312" w:cs="仿宋_GB2312"/>
                <w:sz w:val="24"/>
              </w:rPr>
            </w:pPr>
          </w:p>
        </w:tc>
        <w:tc>
          <w:tcPr>
            <w:tcW w:w="1723" w:type="dxa"/>
            <w:tcBorders>
              <w:top w:val="nil"/>
              <w:left w:val="nil"/>
              <w:bottom w:val="single" w:color="000000" w:sz="8" w:space="0"/>
              <w:right w:val="single" w:color="000000" w:sz="8" w:space="0"/>
            </w:tcBorders>
            <w:vAlign w:val="center"/>
          </w:tcPr>
          <w:p w14:paraId="2B654F7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贵州盘化实业有限公司</w:t>
            </w:r>
          </w:p>
        </w:tc>
        <w:tc>
          <w:tcPr>
            <w:tcW w:w="1245" w:type="dxa"/>
            <w:tcBorders>
              <w:top w:val="nil"/>
              <w:left w:val="nil"/>
              <w:bottom w:val="single" w:color="000000" w:sz="8" w:space="0"/>
              <w:right w:val="single" w:color="000000" w:sz="8" w:space="0"/>
            </w:tcBorders>
            <w:vAlign w:val="center"/>
          </w:tcPr>
          <w:p w14:paraId="4E303EE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采购商品</w:t>
            </w:r>
          </w:p>
        </w:tc>
        <w:tc>
          <w:tcPr>
            <w:tcW w:w="2385" w:type="dxa"/>
            <w:tcBorders>
              <w:top w:val="nil"/>
              <w:left w:val="nil"/>
              <w:bottom w:val="single" w:color="000000" w:sz="8" w:space="0"/>
              <w:right w:val="single" w:color="000000" w:sz="8" w:space="0"/>
            </w:tcBorders>
            <w:vAlign w:val="center"/>
          </w:tcPr>
          <w:p w14:paraId="6F04C9A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3,389.34</w:t>
            </w:r>
          </w:p>
        </w:tc>
        <w:tc>
          <w:tcPr>
            <w:tcW w:w="2476" w:type="dxa"/>
            <w:tcBorders>
              <w:top w:val="nil"/>
              <w:left w:val="nil"/>
              <w:bottom w:val="single" w:color="000000" w:sz="8" w:space="0"/>
              <w:right w:val="single" w:color="000000" w:sz="8" w:space="0"/>
            </w:tcBorders>
            <w:vAlign w:val="center"/>
          </w:tcPr>
          <w:p w14:paraId="297D78A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1.02%</w:t>
            </w:r>
          </w:p>
        </w:tc>
      </w:tr>
      <w:tr w14:paraId="32848F98">
        <w:tblPrEx>
          <w:tblCellMar>
            <w:top w:w="0" w:type="dxa"/>
            <w:left w:w="108" w:type="dxa"/>
            <w:bottom w:w="0" w:type="dxa"/>
            <w:right w:w="108" w:type="dxa"/>
          </w:tblCellMar>
        </w:tblPrEx>
        <w:trPr>
          <w:trHeight w:val="870" w:hRule="atLeast"/>
        </w:trPr>
        <w:tc>
          <w:tcPr>
            <w:tcW w:w="1539" w:type="dxa"/>
            <w:vMerge w:val="restart"/>
            <w:tcBorders>
              <w:top w:val="nil"/>
              <w:left w:val="single" w:color="000000" w:sz="8" w:space="0"/>
              <w:bottom w:val="single" w:color="000000" w:sz="8" w:space="0"/>
              <w:right w:val="single" w:color="000000" w:sz="8" w:space="0"/>
            </w:tcBorders>
            <w:vAlign w:val="center"/>
          </w:tcPr>
          <w:p w14:paraId="0B8ADB3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向关联方提供劳务、接受关联方劳务</w:t>
            </w:r>
          </w:p>
        </w:tc>
        <w:tc>
          <w:tcPr>
            <w:tcW w:w="1723" w:type="dxa"/>
            <w:tcBorders>
              <w:top w:val="nil"/>
              <w:left w:val="nil"/>
              <w:bottom w:val="single" w:color="000000" w:sz="8" w:space="0"/>
              <w:right w:val="single" w:color="000000" w:sz="8" w:space="0"/>
            </w:tcBorders>
            <w:vAlign w:val="center"/>
          </w:tcPr>
          <w:p w14:paraId="2036409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保利民爆哈密有限公司</w:t>
            </w:r>
          </w:p>
        </w:tc>
        <w:tc>
          <w:tcPr>
            <w:tcW w:w="1245" w:type="dxa"/>
            <w:tcBorders>
              <w:top w:val="nil"/>
              <w:left w:val="nil"/>
              <w:bottom w:val="single" w:color="000000" w:sz="8" w:space="0"/>
              <w:right w:val="single" w:color="000000" w:sz="8" w:space="0"/>
            </w:tcBorders>
            <w:vAlign w:val="center"/>
          </w:tcPr>
          <w:p w14:paraId="36C6674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接受劳务</w:t>
            </w:r>
          </w:p>
        </w:tc>
        <w:tc>
          <w:tcPr>
            <w:tcW w:w="2385" w:type="dxa"/>
            <w:tcBorders>
              <w:top w:val="nil"/>
              <w:left w:val="nil"/>
              <w:bottom w:val="single" w:color="000000" w:sz="8" w:space="0"/>
              <w:right w:val="single" w:color="000000" w:sz="8" w:space="0"/>
            </w:tcBorders>
            <w:vAlign w:val="center"/>
          </w:tcPr>
          <w:p w14:paraId="518A394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8,793.82</w:t>
            </w:r>
          </w:p>
        </w:tc>
        <w:tc>
          <w:tcPr>
            <w:tcW w:w="2476" w:type="dxa"/>
            <w:tcBorders>
              <w:top w:val="nil"/>
              <w:left w:val="nil"/>
              <w:bottom w:val="single" w:color="000000" w:sz="8" w:space="0"/>
              <w:right w:val="single" w:color="000000" w:sz="8" w:space="0"/>
            </w:tcBorders>
            <w:vAlign w:val="center"/>
          </w:tcPr>
          <w:p w14:paraId="154148E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7.92%</w:t>
            </w:r>
          </w:p>
        </w:tc>
      </w:tr>
      <w:tr w14:paraId="487F91C4">
        <w:tblPrEx>
          <w:tblCellMar>
            <w:top w:w="0" w:type="dxa"/>
            <w:left w:w="108" w:type="dxa"/>
            <w:bottom w:w="0" w:type="dxa"/>
            <w:right w:w="108" w:type="dxa"/>
          </w:tblCellMar>
        </w:tblPrEx>
        <w:trPr>
          <w:trHeight w:val="870" w:hRule="atLeast"/>
        </w:trPr>
        <w:tc>
          <w:tcPr>
            <w:tcW w:w="1539" w:type="dxa"/>
            <w:vMerge w:val="continue"/>
            <w:tcBorders>
              <w:top w:val="nil"/>
              <w:left w:val="single" w:color="000000" w:sz="8" w:space="0"/>
              <w:bottom w:val="single" w:color="000000" w:sz="8" w:space="0"/>
              <w:right w:val="single" w:color="000000" w:sz="8" w:space="0"/>
            </w:tcBorders>
            <w:vAlign w:val="center"/>
          </w:tcPr>
          <w:p w14:paraId="69DE9A8C">
            <w:pPr>
              <w:jc w:val="center"/>
              <w:rPr>
                <w:rFonts w:hint="eastAsia" w:ascii="仿宋_GB2312" w:hAnsi="宋体" w:eastAsia="仿宋_GB2312" w:cs="仿宋_GB2312"/>
                <w:sz w:val="24"/>
              </w:rPr>
            </w:pPr>
          </w:p>
        </w:tc>
        <w:tc>
          <w:tcPr>
            <w:tcW w:w="1723" w:type="dxa"/>
            <w:tcBorders>
              <w:top w:val="nil"/>
              <w:left w:val="nil"/>
              <w:bottom w:val="single" w:color="000000" w:sz="8" w:space="0"/>
              <w:right w:val="single" w:color="000000" w:sz="8" w:space="0"/>
            </w:tcBorders>
            <w:vAlign w:val="center"/>
          </w:tcPr>
          <w:p w14:paraId="7D4C44D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保利长大工程有限公司</w:t>
            </w:r>
          </w:p>
        </w:tc>
        <w:tc>
          <w:tcPr>
            <w:tcW w:w="1245" w:type="dxa"/>
            <w:tcBorders>
              <w:top w:val="nil"/>
              <w:left w:val="nil"/>
              <w:bottom w:val="single" w:color="000000" w:sz="8" w:space="0"/>
              <w:right w:val="single" w:color="000000" w:sz="8" w:space="0"/>
            </w:tcBorders>
            <w:vAlign w:val="center"/>
          </w:tcPr>
          <w:p w14:paraId="5AE6A34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提供劳务</w:t>
            </w:r>
          </w:p>
        </w:tc>
        <w:tc>
          <w:tcPr>
            <w:tcW w:w="2385" w:type="dxa"/>
            <w:tcBorders>
              <w:top w:val="nil"/>
              <w:left w:val="nil"/>
              <w:bottom w:val="single" w:color="000000" w:sz="8" w:space="0"/>
              <w:right w:val="single" w:color="000000" w:sz="8" w:space="0"/>
            </w:tcBorders>
            <w:vAlign w:val="center"/>
          </w:tcPr>
          <w:p w14:paraId="4AF37AB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6,273.77</w:t>
            </w:r>
          </w:p>
        </w:tc>
        <w:tc>
          <w:tcPr>
            <w:tcW w:w="2476" w:type="dxa"/>
            <w:tcBorders>
              <w:top w:val="nil"/>
              <w:left w:val="nil"/>
              <w:bottom w:val="single" w:color="000000" w:sz="8" w:space="0"/>
              <w:right w:val="single" w:color="000000" w:sz="8" w:space="0"/>
            </w:tcBorders>
            <w:vAlign w:val="center"/>
          </w:tcPr>
          <w:p w14:paraId="519CE12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5.65%</w:t>
            </w:r>
          </w:p>
        </w:tc>
      </w:tr>
      <w:tr w14:paraId="4D7CA236">
        <w:tblPrEx>
          <w:tblCellMar>
            <w:top w:w="0" w:type="dxa"/>
            <w:left w:w="108" w:type="dxa"/>
            <w:bottom w:w="0" w:type="dxa"/>
            <w:right w:w="108" w:type="dxa"/>
          </w:tblCellMar>
        </w:tblPrEx>
        <w:trPr>
          <w:trHeight w:val="1155" w:hRule="atLeast"/>
        </w:trPr>
        <w:tc>
          <w:tcPr>
            <w:tcW w:w="1539" w:type="dxa"/>
            <w:vMerge w:val="continue"/>
            <w:tcBorders>
              <w:top w:val="nil"/>
              <w:left w:val="single" w:color="000000" w:sz="8" w:space="0"/>
              <w:bottom w:val="single" w:color="000000" w:sz="8" w:space="0"/>
              <w:right w:val="single" w:color="000000" w:sz="8" w:space="0"/>
            </w:tcBorders>
            <w:vAlign w:val="center"/>
          </w:tcPr>
          <w:p w14:paraId="595CA257">
            <w:pPr>
              <w:jc w:val="center"/>
              <w:rPr>
                <w:rFonts w:hint="eastAsia" w:ascii="仿宋_GB2312" w:hAnsi="宋体" w:eastAsia="仿宋_GB2312" w:cs="仿宋_GB2312"/>
                <w:sz w:val="24"/>
              </w:rPr>
            </w:pPr>
          </w:p>
        </w:tc>
        <w:tc>
          <w:tcPr>
            <w:tcW w:w="1723" w:type="dxa"/>
            <w:tcBorders>
              <w:top w:val="nil"/>
              <w:left w:val="nil"/>
              <w:bottom w:val="single" w:color="000000" w:sz="8" w:space="0"/>
              <w:right w:val="single" w:color="000000" w:sz="8" w:space="0"/>
            </w:tcBorders>
            <w:vAlign w:val="center"/>
          </w:tcPr>
          <w:p w14:paraId="4D069F9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北京北阳世纪民爆工程有限公司</w:t>
            </w:r>
          </w:p>
        </w:tc>
        <w:tc>
          <w:tcPr>
            <w:tcW w:w="1245" w:type="dxa"/>
            <w:tcBorders>
              <w:top w:val="nil"/>
              <w:left w:val="nil"/>
              <w:bottom w:val="single" w:color="000000" w:sz="8" w:space="0"/>
              <w:right w:val="single" w:color="000000" w:sz="8" w:space="0"/>
            </w:tcBorders>
            <w:vAlign w:val="center"/>
          </w:tcPr>
          <w:p w14:paraId="3EF2B80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接受劳务</w:t>
            </w:r>
          </w:p>
        </w:tc>
        <w:tc>
          <w:tcPr>
            <w:tcW w:w="2385" w:type="dxa"/>
            <w:tcBorders>
              <w:top w:val="nil"/>
              <w:left w:val="nil"/>
              <w:bottom w:val="single" w:color="000000" w:sz="8" w:space="0"/>
              <w:right w:val="single" w:color="000000" w:sz="8" w:space="0"/>
            </w:tcBorders>
            <w:vAlign w:val="center"/>
          </w:tcPr>
          <w:p w14:paraId="251C8B9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7,267.56</w:t>
            </w:r>
          </w:p>
        </w:tc>
        <w:tc>
          <w:tcPr>
            <w:tcW w:w="2476" w:type="dxa"/>
            <w:tcBorders>
              <w:top w:val="nil"/>
              <w:left w:val="nil"/>
              <w:bottom w:val="single" w:color="000000" w:sz="8" w:space="0"/>
              <w:right w:val="single" w:color="000000" w:sz="8" w:space="0"/>
            </w:tcBorders>
            <w:vAlign w:val="center"/>
          </w:tcPr>
          <w:p w14:paraId="58BC5D6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6.55%</w:t>
            </w:r>
          </w:p>
        </w:tc>
      </w:tr>
      <w:tr w14:paraId="69323E96">
        <w:tblPrEx>
          <w:tblCellMar>
            <w:top w:w="0" w:type="dxa"/>
            <w:left w:w="108" w:type="dxa"/>
            <w:bottom w:w="0" w:type="dxa"/>
            <w:right w:w="108" w:type="dxa"/>
          </w:tblCellMar>
        </w:tblPrEx>
        <w:trPr>
          <w:trHeight w:val="1155" w:hRule="atLeast"/>
        </w:trPr>
        <w:tc>
          <w:tcPr>
            <w:tcW w:w="1539" w:type="dxa"/>
            <w:tcBorders>
              <w:top w:val="nil"/>
              <w:left w:val="single" w:color="000000" w:sz="8" w:space="0"/>
              <w:bottom w:val="single" w:color="000000" w:sz="8" w:space="0"/>
              <w:right w:val="single" w:color="000000" w:sz="8" w:space="0"/>
            </w:tcBorders>
            <w:vAlign w:val="center"/>
          </w:tcPr>
          <w:p w14:paraId="0916CBC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向关联方提供租赁、接受关联方租赁</w:t>
            </w:r>
          </w:p>
        </w:tc>
        <w:tc>
          <w:tcPr>
            <w:tcW w:w="1723" w:type="dxa"/>
            <w:tcBorders>
              <w:top w:val="nil"/>
              <w:left w:val="nil"/>
              <w:bottom w:val="single" w:color="000000" w:sz="8" w:space="0"/>
              <w:right w:val="single" w:color="000000" w:sz="8" w:space="0"/>
            </w:tcBorders>
            <w:vAlign w:val="center"/>
          </w:tcPr>
          <w:p w14:paraId="12ADDA9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贵州保久安防集团有限公司</w:t>
            </w:r>
          </w:p>
        </w:tc>
        <w:tc>
          <w:tcPr>
            <w:tcW w:w="1245" w:type="dxa"/>
            <w:tcBorders>
              <w:top w:val="nil"/>
              <w:left w:val="nil"/>
              <w:bottom w:val="single" w:color="000000" w:sz="8" w:space="0"/>
              <w:right w:val="single" w:color="000000" w:sz="8" w:space="0"/>
            </w:tcBorders>
            <w:vAlign w:val="center"/>
          </w:tcPr>
          <w:p w14:paraId="7FD94E5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接受租赁</w:t>
            </w:r>
          </w:p>
        </w:tc>
        <w:tc>
          <w:tcPr>
            <w:tcW w:w="2385" w:type="dxa"/>
            <w:tcBorders>
              <w:top w:val="nil"/>
              <w:left w:val="nil"/>
              <w:bottom w:val="single" w:color="000000" w:sz="8" w:space="0"/>
              <w:right w:val="single" w:color="000000" w:sz="8" w:space="0"/>
            </w:tcBorders>
            <w:vAlign w:val="center"/>
          </w:tcPr>
          <w:p w14:paraId="0CDE7E2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1,019.04</w:t>
            </w:r>
          </w:p>
        </w:tc>
        <w:tc>
          <w:tcPr>
            <w:tcW w:w="2476" w:type="dxa"/>
            <w:tcBorders>
              <w:top w:val="nil"/>
              <w:left w:val="nil"/>
              <w:bottom w:val="single" w:color="000000" w:sz="8" w:space="0"/>
              <w:right w:val="single" w:color="000000" w:sz="8" w:space="0"/>
            </w:tcBorders>
            <w:vAlign w:val="center"/>
          </w:tcPr>
          <w:p w14:paraId="75E3820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49.82%</w:t>
            </w:r>
          </w:p>
        </w:tc>
      </w:tr>
      <w:tr w14:paraId="4FD4A3B9">
        <w:tblPrEx>
          <w:tblCellMar>
            <w:top w:w="0" w:type="dxa"/>
            <w:left w:w="108" w:type="dxa"/>
            <w:bottom w:w="0" w:type="dxa"/>
            <w:right w:w="108" w:type="dxa"/>
          </w:tblCellMar>
        </w:tblPrEx>
        <w:trPr>
          <w:trHeight w:val="285" w:hRule="atLeast"/>
        </w:trPr>
        <w:tc>
          <w:tcPr>
            <w:tcW w:w="4507" w:type="dxa"/>
            <w:gridSpan w:val="3"/>
            <w:tcBorders>
              <w:top w:val="nil"/>
              <w:left w:val="single" w:color="000000" w:sz="8" w:space="0"/>
              <w:bottom w:val="single" w:color="000000" w:sz="8" w:space="0"/>
              <w:right w:val="single" w:color="000000" w:sz="8" w:space="0"/>
            </w:tcBorders>
            <w:noWrap/>
            <w:vAlign w:val="center"/>
          </w:tcPr>
          <w:p w14:paraId="28C71EBF">
            <w:pPr>
              <w:jc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合计</w:t>
            </w:r>
          </w:p>
        </w:tc>
        <w:tc>
          <w:tcPr>
            <w:tcW w:w="2385" w:type="dxa"/>
            <w:tcBorders>
              <w:top w:val="nil"/>
              <w:left w:val="nil"/>
              <w:bottom w:val="single" w:color="000000" w:sz="8" w:space="0"/>
              <w:right w:val="single" w:color="000000" w:sz="8" w:space="0"/>
            </w:tcBorders>
            <w:noWrap/>
            <w:vAlign w:val="center"/>
          </w:tcPr>
          <w:p w14:paraId="7E6F5FB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62,288.15</w:t>
            </w:r>
          </w:p>
        </w:tc>
        <w:tc>
          <w:tcPr>
            <w:tcW w:w="2476" w:type="dxa"/>
            <w:tcBorders>
              <w:top w:val="nil"/>
              <w:left w:val="nil"/>
              <w:bottom w:val="single" w:color="000000" w:sz="8" w:space="0"/>
              <w:right w:val="single" w:color="000000" w:sz="8" w:space="0"/>
            </w:tcBorders>
            <w:vAlign w:val="center"/>
          </w:tcPr>
          <w:p w14:paraId="020FC3E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8.47%</w:t>
            </w:r>
          </w:p>
        </w:tc>
      </w:tr>
    </w:tbl>
    <w:p w14:paraId="2CE4E41B">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二、关联人介绍和关联人关系</w:t>
      </w:r>
    </w:p>
    <w:p w14:paraId="6E7ECCC8">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（一）关联人介绍</w:t>
      </w:r>
    </w:p>
    <w:p w14:paraId="36E5EA9E">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sz w:val="32"/>
          <w:szCs w:val="32"/>
        </w:rPr>
        <w:t>1.</w:t>
      </w:r>
      <w:r>
        <w:rPr>
          <w:rFonts w:hint="eastAsia" w:ascii="仿宋" w:hAnsi="仿宋" w:eastAsia="仿宋" w:cs="仿宋"/>
          <w:b/>
          <w:bCs/>
          <w:sz w:val="32"/>
          <w:szCs w:val="32"/>
        </w:rPr>
        <w:t>保利久联控股集团有限责任公司</w:t>
      </w:r>
    </w:p>
    <w:p w14:paraId="2D668711">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法定代表人：刘文生</w:t>
      </w:r>
    </w:p>
    <w:p w14:paraId="51585E95">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注册资本：29,318万元</w:t>
      </w:r>
    </w:p>
    <w:p w14:paraId="463157F0">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住所：贵州省贵阳市观山湖区石林东路9号1号楼</w:t>
      </w:r>
    </w:p>
    <w:p w14:paraId="6E077BE9">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营业务：以自有资金从事投资活动；自有资金投资的资产管理服务；房地产开发经营；住房租赁；非居住房地产租赁；土地使用权租赁；成品油零售（不含危险化学品）；汽车零配件批发；煤炭及制品销售；国内贸易代理。</w:t>
      </w:r>
    </w:p>
    <w:p w14:paraId="79775FA1">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截至2025年12月31日，总资产：1,837,417.73万元，净资产：254,977.67万元，2025年度营业收入：809,270.76 万元，净利润：-101,196.91万元。</w:t>
      </w:r>
    </w:p>
    <w:p w14:paraId="0EC542DC">
      <w:pPr>
        <w:spacing w:line="360" w:lineRule="auto"/>
        <w:ind w:left="105" w:leftChars="50" w:firstLine="482" w:firstLineChars="150"/>
        <w:rPr>
          <w:rFonts w:hint="eastAsia" w:ascii="仿宋" w:hAnsi="仿宋" w:eastAsia="仿宋" w:cs="仿宋"/>
          <w:b/>
          <w:bCs/>
          <w:sz w:val="32"/>
          <w:szCs w:val="32"/>
        </w:rPr>
      </w:pPr>
      <w:r>
        <w:rPr>
          <w:rFonts w:hint="eastAsia" w:ascii="仿宋" w:hAnsi="仿宋" w:eastAsia="仿宋" w:cs="仿宋"/>
          <w:b/>
          <w:bCs/>
          <w:sz w:val="32"/>
          <w:szCs w:val="32"/>
        </w:rPr>
        <w:t>2.保利民爆哈密有限公司</w:t>
      </w:r>
    </w:p>
    <w:p w14:paraId="735751DF">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法定代表人：王光兵</w:t>
      </w:r>
    </w:p>
    <w:p w14:paraId="51912900">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注册资本：5,000万元</w:t>
      </w:r>
    </w:p>
    <w:p w14:paraId="7F636B7F">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住所：新疆哈密市巴里坤哈萨克自治县大红柳峡乡501专线150公里正北5公里处</w:t>
      </w:r>
    </w:p>
    <w:p w14:paraId="1EF338F7">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营业务：民用爆炸物品生产；爆破作业；煤炭开采；非煤矿山矿产资源开采；道路货物运输（不含危险货物）；道路危险货物运输；建设工程施工；地质灾害治理工程施工；建设工程设计；建筑劳务分包；建设工程监理。一般项目：矿山机械销售；技术服务、技术开发、技术咨询、技术交流、技术转让、技术推广；普通货物仓储服务（不含危险化学品等需许可审批的项目）；化工产品销售（不含许可类化工产品）；土石方工程施工；选矿；劳务服务（不含劳务派遣）；工程和技术研究和试验发展（除依法须经批准的项目外，凭营业执照依法自主开展经营活动）。</w:t>
      </w:r>
    </w:p>
    <w:p w14:paraId="59240675">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截至2025年12月31日，总资产：40,316.53 万元，净资产：30,369.00万元，2025年度营业收入：65,881.52万元，净利润：14,603.43万元。</w:t>
      </w:r>
    </w:p>
    <w:p w14:paraId="1E4195D1">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3.新时代民爆辽宁有限公司</w:t>
      </w:r>
    </w:p>
    <w:p w14:paraId="218070E1">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法定代表人：翟永胜</w:t>
      </w:r>
    </w:p>
    <w:p w14:paraId="34A4BC85">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注册资本：5,135万元</w:t>
      </w:r>
    </w:p>
    <w:p w14:paraId="519CF8BC">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住所：阜新市太平区孙家湾南山坡</w:t>
      </w:r>
    </w:p>
    <w:p w14:paraId="05621943">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营业务：民用爆炸物品生产；道路危险货物运输；国际道路货物运输。一般项目：化工产品生产（不含许可类化工产品）；金属材料制造；钢压延加工；金属材料销售；电子元器件制造；电子元器件批发；电线、电缆经营；炼油、化工生产专用设备销售；货物进出口；进出口代理。</w:t>
      </w:r>
    </w:p>
    <w:p w14:paraId="21EE619A">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截至2025年12月31日，总资产：59,600.16万元，净资产：-37,828.18万元，2025年度营业收入：34,789.00万元，净利润：-1,723.75万元。</w:t>
      </w:r>
    </w:p>
    <w:p w14:paraId="029421C7">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4.北京北阳世纪民爆工程有限公司</w:t>
      </w:r>
    </w:p>
    <w:p w14:paraId="6B443CC0">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法定代表人：胡永玉</w:t>
      </w:r>
    </w:p>
    <w:p w14:paraId="17B87F5C">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注册资本：2,000万元</w:t>
      </w:r>
    </w:p>
    <w:p w14:paraId="6282B753">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住所：北京市海淀区魏公村民族大学北路16号2幢三层306-32</w:t>
      </w:r>
    </w:p>
    <w:p w14:paraId="1E4D9A48">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主营业务：建设工程施工；建筑劳务分包；爆破作业；地质灾害治理工程施工；地质灾害治理工程勘查；地质灾害治理工程设计。</w:t>
      </w:r>
    </w:p>
    <w:p w14:paraId="2ED12FF6">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截至2025年12月31日，总资产：18,729.18万元，净资产：8,829.58万元，2025年度营业收入：21,746.58万元，净利润：2,949.17万元。</w:t>
      </w:r>
    </w:p>
    <w:p w14:paraId="1E7278A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5.保利化工控股有限公司</w:t>
      </w:r>
    </w:p>
    <w:p w14:paraId="1BA0B850">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法定代表人：陈瑞明</w:t>
      </w:r>
    </w:p>
    <w:p w14:paraId="63431EC0">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注册资本：10000万</w:t>
      </w:r>
    </w:p>
    <w:p w14:paraId="1536804F">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住所：广州市南沙区翠瑜街7号1201房</w:t>
      </w:r>
    </w:p>
    <w:p w14:paraId="68C2A5EC">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营业务：信息咨询服务（不含许可类信息咨询服务）;化工产品销售（不含许可类化工产品）;建筑用钢筋产品销售;煤炭及制品销售;国内贸易代理;高品质特种钢铁材料销售;以自有资金从事投资活动;金属材料销售;非金属矿及制品销售;融资咨询服务;轻质建筑材料销售;货物进出口;技术进出口;化肥销售;轮胎销售;矿产资源（非煤矿山）开采;矿产资源勘查;河道采砂;煤炭开采;危险化学品经营;成品油批发（限危险化学品）。</w:t>
      </w:r>
    </w:p>
    <w:p w14:paraId="7D1B1FEA">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截至2025年12月31日，总资产：8,010.49万元，净资产：4,269.43万元，2025年度营业收入：28,373.22万元，净利润：339.97万元。</w:t>
      </w:r>
    </w:p>
    <w:p w14:paraId="1E9B30A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6.贵州保久安防集团有限公司</w:t>
      </w:r>
    </w:p>
    <w:p w14:paraId="3C1C7B79">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法定代表人：冉光齐</w:t>
      </w:r>
    </w:p>
    <w:p w14:paraId="507E1BCC">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注册资本：50000万元</w:t>
      </w:r>
    </w:p>
    <w:p w14:paraId="2CE77CF1">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住所：贵州省贵阳市清镇市红枫湖路90号1号楼</w:t>
      </w:r>
    </w:p>
    <w:p w14:paraId="6FDE1118">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主营业务：全域化服务、物业管理、武装守押、金服外包、智慧安防、网络安全、信息化建设、档案管理、数据治理及大数据研发应用等。</w:t>
      </w:r>
    </w:p>
    <w:p w14:paraId="316ABC69">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截至2025年12月31日，总资产：164,271.27万元，净资产：107,868.46万元，2025年度营业收入：40,691.53万元，净利润：204.44万元。</w:t>
      </w:r>
    </w:p>
    <w:p w14:paraId="53B6016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7.贵州盘化实业有限公司</w:t>
      </w:r>
    </w:p>
    <w:p w14:paraId="1B449F8F">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法定代表人：刘凯</w:t>
      </w:r>
    </w:p>
    <w:p w14:paraId="6481C6AE">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注册资本：1,050万元</w:t>
      </w:r>
    </w:p>
    <w:p w14:paraId="3CC4F4A5">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住所：贵州省贵阳市清镇市红枫湖镇骆家桥村三组84号</w:t>
      </w:r>
    </w:p>
    <w:p w14:paraId="28A7D65F">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主营业务：电线、电缆经营；塑料制品制造；塑料制品销售；建筑材料销售；日用百货销售；针纺织品及原料销售；日用品销售；石油制品销售（不含危险化学品）；电子元器件制造；电子产品销售。</w:t>
      </w:r>
    </w:p>
    <w:p w14:paraId="72E77A28">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截至2025年12月31日，总资产：4,289.30万元，净资产：2,115.28万元，2025年度营业收入：4,161.82万元，净利润：191.89万元。</w:t>
      </w:r>
    </w:p>
    <w:p w14:paraId="0135EC11">
      <w:pPr>
        <w:ind w:firstLine="643" w:firstLineChars="200"/>
        <w:rPr>
          <w:rFonts w:hint="eastAsia" w:ascii="仿宋" w:hAnsi="仿宋" w:eastAsia="仿宋" w:cs="仿宋"/>
          <w:sz w:val="32"/>
          <w:szCs w:val="32"/>
        </w:rPr>
      </w:pPr>
      <w:r>
        <w:rPr>
          <w:rFonts w:hint="eastAsia" w:ascii="仿宋" w:hAnsi="仿宋" w:eastAsia="仿宋" w:cs="仿宋"/>
          <w:b/>
          <w:bCs/>
          <w:sz w:val="32"/>
          <w:szCs w:val="32"/>
        </w:rPr>
        <w:t>8.保利长大工程有限公司</w:t>
      </w:r>
    </w:p>
    <w:p w14:paraId="1F047A43">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法定代表人：刘刚亮</w:t>
      </w:r>
    </w:p>
    <w:p w14:paraId="769D08E5">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注册资本：336,490万元</w:t>
      </w:r>
    </w:p>
    <w:p w14:paraId="21CF72C4">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住所：广州市天河区广州大道中942号</w:t>
      </w:r>
    </w:p>
    <w:p w14:paraId="147029D2">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营业务：承包境内外公路工程、港口与航道工程、市政公用工程、房屋建筑工程、水利水电工程、铁路工程和路基工程、路面工程、桥梁工程、隧道工程、交通设施工程、机电工程、道路养护工程、城市轨道工程、海洋工程、机场工程、环保工程、管道工程、绿化工程等各类工程项目的勘察、设计、施工、管理、咨询，以及配套设备、材料、构件的生产、经营、销售、安装及仓储；各类基础设施项目及附属设施的投资、建设、运营及管理；技术开发、技术转让、技术服务；实业投资、开发、经营；投资咨询（不含期货、证券）；自有房屋租赁；销售：建筑材料、五金、交电、工业生产资料（不含实行汽车品牌销售管理的汽车、危险化学品）；机械设备制造、安装、改造和维修和租赁；钢结构制作、安装；货物进出口、技术进出口，从事国内沿海普通货物运输、海上拖带及与海洋工程相关的专业服务。</w:t>
      </w:r>
    </w:p>
    <w:p w14:paraId="3486830A">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截至2025年12月31日，总资产：7,648,839.23万元，净资产：1,024,717.03万元，2025年度营业收入：2,472,483.31万元，净利润：135,478.50万元。</w:t>
      </w:r>
    </w:p>
    <w:p w14:paraId="1358D997">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经核查，以上关联方的相关财务报表及相关资质文件，并查询中国执行信息公开网，以上关联方均不属于失信被执行人，具备相应的履约能力。</w:t>
      </w:r>
    </w:p>
    <w:p w14:paraId="1026310D">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（二）与上市公司的关联关系</w:t>
      </w:r>
    </w:p>
    <w:p w14:paraId="0D3C42D4">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保利久联为本公司控股股东，公司和前述各关联方属于受同一实际控制人保利集团控制的关系，属于《深圳证券交易所股票上市规则》相关规定的情形，为本公司的关联法人。</w:t>
      </w:r>
    </w:p>
    <w:p w14:paraId="06EBF95A">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三、关联交易价格确认依据及协议签署情况</w:t>
      </w:r>
    </w:p>
    <w:p w14:paraId="2BBF153F">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1.上述关联交易均以公平的市场价格进行，价格按以下方式确认：</w:t>
      </w:r>
    </w:p>
    <w:p w14:paraId="2EE7894F">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（1）各项商品采购、劳务采购定价不偏离任何向独立第三方采购同类服务或商品的价格或收费标准；</w:t>
      </w:r>
    </w:p>
    <w:p w14:paraId="6E02C0B9">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（2）销售商品的价格不偏离任何向独立第三方提供同类商品的价格，基于同一报价机制收费。</w:t>
      </w:r>
    </w:p>
    <w:p w14:paraId="71B52161">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2.各方具体关联交易的付款和结算方式由各方根据合同约定或交易习惯确定。</w:t>
      </w:r>
    </w:p>
    <w:p w14:paraId="1F72DC05">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3.上述关联交易事项是根据2026年度公司经营需要，预计有可能发生的关联交易。公司将根据经营活动的进程，与相应关联人及时签署相关合同或协议。</w:t>
      </w:r>
    </w:p>
    <w:p w14:paraId="51D32C20">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四、交易的目的及交易对公司的影响</w:t>
      </w:r>
    </w:p>
    <w:p w14:paraId="12DAD02C">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上述关联交易属于公司正常业务范围，为公司生产经营所必须，是在公平、互利的基础上进行，未损害公司利益；在遵循了市场公开、公平、公正的原则及不损害中小股东利益的条件下，正常的关联交易有利于关联双方充分实现资源互补，达到互惠互利的目的。本关联交易未影响公司独立性，公司主要业务也未对关联方公司形成任何依赖。预计在今后的生产经营中，上述关联交易具有存在的必要性，并可能持续存在。</w:t>
      </w:r>
    </w:p>
    <w:p w14:paraId="6718CD51">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五、独立董事专门会议审议情况</w:t>
      </w:r>
    </w:p>
    <w:p w14:paraId="0F32DDF3">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2026年4月21日公司独立董事召开2026年第一次专门会议，</w:t>
      </w:r>
      <w:r>
        <w:rPr>
          <w:rFonts w:ascii="仿宋" w:hAnsi="仿宋" w:eastAsia="仿宋" w:cs="Times New Roman"/>
          <w:sz w:val="32"/>
          <w:szCs w:val="32"/>
        </w:rPr>
        <w:t>以同意3票、反对0票、弃权0票的表决结果审议通过《</w:t>
      </w:r>
      <w:r>
        <w:rPr>
          <w:rFonts w:hint="eastAsia" w:ascii="仿宋" w:hAnsi="仿宋" w:eastAsia="仿宋" w:cs="Times New Roman"/>
          <w:sz w:val="32"/>
          <w:szCs w:val="32"/>
        </w:rPr>
        <w:t>关于公司2026年度日常关联交易预计的议案</w:t>
      </w:r>
      <w:r>
        <w:rPr>
          <w:rFonts w:ascii="仿宋" w:hAnsi="仿宋" w:eastAsia="仿宋" w:cs="Times New Roman"/>
          <w:sz w:val="32"/>
          <w:szCs w:val="32"/>
        </w:rPr>
        <w:t>》</w:t>
      </w:r>
      <w:r>
        <w:rPr>
          <w:rFonts w:hint="eastAsia" w:ascii="仿宋" w:hAnsi="仿宋" w:eastAsia="仿宋" w:cs="Times New Roman"/>
          <w:sz w:val="32"/>
          <w:szCs w:val="32"/>
        </w:rPr>
        <w:t>。经审议，公司2026年度日常关联交易事项是基于公司日常生产经营的需要，交易双方在平等、互利的基础上进行，遵循了“公开、公平、公正”的交易原则。不存在损害公司及中小股东利益的情形。因此我们同意本关联交易事项，并将此议案提交公司董事会审议。</w:t>
      </w:r>
    </w:p>
    <w:p w14:paraId="09BEE2BE">
      <w:pPr>
        <w:widowControl/>
        <w:ind w:firstLine="643" w:firstLineChars="200"/>
        <w:jc w:val="left"/>
        <w:rPr>
          <w:rFonts w:hint="eastAsia" w:ascii="仿宋" w:hAnsi="仿宋" w:eastAsia="仿宋" w:cs="Times New Roman"/>
          <w:b/>
          <w:bCs/>
          <w:sz w:val="32"/>
          <w:szCs w:val="32"/>
        </w:rPr>
      </w:pPr>
      <w:r>
        <w:rPr>
          <w:rFonts w:hint="eastAsia" w:ascii="仿宋" w:hAnsi="仿宋" w:eastAsia="仿宋" w:cs="Times New Roman"/>
          <w:b/>
          <w:bCs/>
          <w:sz w:val="32"/>
          <w:szCs w:val="32"/>
        </w:rPr>
        <w:t>六、备查文件</w:t>
      </w:r>
    </w:p>
    <w:p w14:paraId="57FA9403">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1.公司第七届董事会第二十四次会议决议；</w:t>
      </w:r>
    </w:p>
    <w:p w14:paraId="4A39EC56">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2.公司第七届董事会风控与审计委员会2026年第五次工作会会议决议；</w:t>
      </w:r>
    </w:p>
    <w:p w14:paraId="0A27DE5A">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3.公司独立董事2026年第一次专门会议决议。</w:t>
      </w:r>
    </w:p>
    <w:p w14:paraId="260E19C2">
      <w:pPr>
        <w:widowControl/>
        <w:ind w:firstLine="640" w:firstLineChars="200"/>
        <w:jc w:val="left"/>
        <w:rPr>
          <w:rFonts w:hint="eastAsia" w:ascii="仿宋" w:hAnsi="仿宋" w:eastAsia="仿宋" w:cs="Times New Roman"/>
          <w:sz w:val="32"/>
          <w:szCs w:val="32"/>
        </w:rPr>
      </w:pPr>
    </w:p>
    <w:p w14:paraId="3084AEE0">
      <w:pPr>
        <w:widowControl/>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特此公告。</w:t>
      </w:r>
    </w:p>
    <w:p w14:paraId="6D35850A">
      <w:pPr>
        <w:widowControl/>
        <w:ind w:firstLine="640" w:firstLineChars="200"/>
        <w:jc w:val="right"/>
        <w:rPr>
          <w:rFonts w:hint="eastAsia" w:ascii="仿宋" w:hAnsi="仿宋" w:eastAsia="仿宋" w:cs="Times New Roman"/>
          <w:sz w:val="32"/>
          <w:szCs w:val="32"/>
        </w:rPr>
      </w:pPr>
      <w:r>
        <w:rPr>
          <w:rFonts w:hint="eastAsia" w:ascii="仿宋" w:hAnsi="仿宋" w:eastAsia="仿宋" w:cs="Times New Roman"/>
          <w:sz w:val="32"/>
          <w:szCs w:val="32"/>
        </w:rPr>
        <w:t>保利联合化工控股集团股份有限公司董事会</w:t>
      </w:r>
    </w:p>
    <w:p w14:paraId="393DBD48">
      <w:pPr>
        <w:widowControl/>
        <w:ind w:firstLine="4480" w:firstLineChars="1400"/>
        <w:jc w:val="left"/>
        <w:rPr>
          <w:rFonts w:hint="eastAsia" w:ascii="仿宋" w:hAnsi="仿宋" w:eastAsia="仿宋" w:cs="Times New Roman"/>
          <w:sz w:val="32"/>
          <w:szCs w:val="32"/>
        </w:rPr>
      </w:pPr>
      <w:r>
        <w:rPr>
          <w:rFonts w:hint="eastAsia" w:ascii="仿宋" w:hAnsi="仿宋" w:eastAsia="仿宋" w:cs="Times New Roman"/>
          <w:sz w:val="32"/>
          <w:szCs w:val="32"/>
        </w:rPr>
        <w:t>2026年4月28日</w:t>
      </w:r>
    </w:p>
    <w:sectPr>
      <w:footerReference r:id="rId3" w:type="default"/>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8625"/>
    </w:sdtPr>
    <w:sdtContent>
      <w:p w14:paraId="48BBAF1D">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6339BB7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NWIyNjI2M2U2NGU2MGZlZjZhZjUwZWY1ZGNiODMifQ=="/>
  </w:docVars>
  <w:rsids>
    <w:rsidRoot w:val="3DBC3167"/>
    <w:rsid w:val="000261E6"/>
    <w:rsid w:val="00040FCB"/>
    <w:rsid w:val="00064231"/>
    <w:rsid w:val="00083500"/>
    <w:rsid w:val="00094C98"/>
    <w:rsid w:val="00095596"/>
    <w:rsid w:val="000A11B2"/>
    <w:rsid w:val="000A6132"/>
    <w:rsid w:val="000A68E7"/>
    <w:rsid w:val="000C1062"/>
    <w:rsid w:val="00135C62"/>
    <w:rsid w:val="00135E52"/>
    <w:rsid w:val="00153958"/>
    <w:rsid w:val="001A0E9E"/>
    <w:rsid w:val="001D1CAB"/>
    <w:rsid w:val="002004D9"/>
    <w:rsid w:val="00207E30"/>
    <w:rsid w:val="00216B6D"/>
    <w:rsid w:val="00220265"/>
    <w:rsid w:val="002303A2"/>
    <w:rsid w:val="002740A7"/>
    <w:rsid w:val="00281EAE"/>
    <w:rsid w:val="002A76A9"/>
    <w:rsid w:val="002F13F7"/>
    <w:rsid w:val="00301CDF"/>
    <w:rsid w:val="00301F02"/>
    <w:rsid w:val="00310F5D"/>
    <w:rsid w:val="00323F8A"/>
    <w:rsid w:val="0034008A"/>
    <w:rsid w:val="0034678B"/>
    <w:rsid w:val="00346D54"/>
    <w:rsid w:val="00376F09"/>
    <w:rsid w:val="003938EC"/>
    <w:rsid w:val="003B5BC6"/>
    <w:rsid w:val="003E198D"/>
    <w:rsid w:val="003F57BD"/>
    <w:rsid w:val="004129C2"/>
    <w:rsid w:val="00412C3C"/>
    <w:rsid w:val="004577C9"/>
    <w:rsid w:val="0047761F"/>
    <w:rsid w:val="004836F4"/>
    <w:rsid w:val="00490B25"/>
    <w:rsid w:val="00491B25"/>
    <w:rsid w:val="00497A87"/>
    <w:rsid w:val="004B49DC"/>
    <w:rsid w:val="004D0836"/>
    <w:rsid w:val="004D51B6"/>
    <w:rsid w:val="004D5702"/>
    <w:rsid w:val="00502E28"/>
    <w:rsid w:val="00505F62"/>
    <w:rsid w:val="00560C70"/>
    <w:rsid w:val="005A02D7"/>
    <w:rsid w:val="005A18C4"/>
    <w:rsid w:val="005E2493"/>
    <w:rsid w:val="005F2199"/>
    <w:rsid w:val="005F4205"/>
    <w:rsid w:val="00601100"/>
    <w:rsid w:val="006329B4"/>
    <w:rsid w:val="0067419E"/>
    <w:rsid w:val="00686132"/>
    <w:rsid w:val="006A615A"/>
    <w:rsid w:val="006A6A01"/>
    <w:rsid w:val="006A7A1D"/>
    <w:rsid w:val="006D237A"/>
    <w:rsid w:val="006D3746"/>
    <w:rsid w:val="00704196"/>
    <w:rsid w:val="0072738F"/>
    <w:rsid w:val="007700B5"/>
    <w:rsid w:val="007775B0"/>
    <w:rsid w:val="00781D9C"/>
    <w:rsid w:val="00790E1D"/>
    <w:rsid w:val="00791A14"/>
    <w:rsid w:val="00795CAC"/>
    <w:rsid w:val="007C27F4"/>
    <w:rsid w:val="007E1BE9"/>
    <w:rsid w:val="007F45B1"/>
    <w:rsid w:val="0086328E"/>
    <w:rsid w:val="00892842"/>
    <w:rsid w:val="00895AD2"/>
    <w:rsid w:val="008E1011"/>
    <w:rsid w:val="008F0973"/>
    <w:rsid w:val="008F59C9"/>
    <w:rsid w:val="00935745"/>
    <w:rsid w:val="0096313C"/>
    <w:rsid w:val="00981A1E"/>
    <w:rsid w:val="009D75A0"/>
    <w:rsid w:val="009F5A82"/>
    <w:rsid w:val="00A17D18"/>
    <w:rsid w:val="00A2259A"/>
    <w:rsid w:val="00A2406E"/>
    <w:rsid w:val="00A61425"/>
    <w:rsid w:val="00AE196B"/>
    <w:rsid w:val="00AF0917"/>
    <w:rsid w:val="00B05872"/>
    <w:rsid w:val="00B16927"/>
    <w:rsid w:val="00B2298D"/>
    <w:rsid w:val="00B545B7"/>
    <w:rsid w:val="00B92C7B"/>
    <w:rsid w:val="00BF751D"/>
    <w:rsid w:val="00C44F60"/>
    <w:rsid w:val="00C503AA"/>
    <w:rsid w:val="00C55051"/>
    <w:rsid w:val="00CE14D2"/>
    <w:rsid w:val="00CE7B7E"/>
    <w:rsid w:val="00D032AD"/>
    <w:rsid w:val="00D102D0"/>
    <w:rsid w:val="00D15D78"/>
    <w:rsid w:val="00D30A89"/>
    <w:rsid w:val="00D34B78"/>
    <w:rsid w:val="00D91F6A"/>
    <w:rsid w:val="00DC184F"/>
    <w:rsid w:val="00DD4B6F"/>
    <w:rsid w:val="00DF47F6"/>
    <w:rsid w:val="00E11003"/>
    <w:rsid w:val="00E17F99"/>
    <w:rsid w:val="00E237FF"/>
    <w:rsid w:val="00E45803"/>
    <w:rsid w:val="00E56046"/>
    <w:rsid w:val="00EA1ECA"/>
    <w:rsid w:val="00EA2578"/>
    <w:rsid w:val="00EB1139"/>
    <w:rsid w:val="00F00A1C"/>
    <w:rsid w:val="00F131B6"/>
    <w:rsid w:val="00F221AC"/>
    <w:rsid w:val="00F804F9"/>
    <w:rsid w:val="00FD4239"/>
    <w:rsid w:val="13154DAE"/>
    <w:rsid w:val="15FF0B95"/>
    <w:rsid w:val="17E54811"/>
    <w:rsid w:val="1FA3607E"/>
    <w:rsid w:val="20C1024C"/>
    <w:rsid w:val="2185348F"/>
    <w:rsid w:val="2ADE4D64"/>
    <w:rsid w:val="2CBE1DA1"/>
    <w:rsid w:val="2E5229C6"/>
    <w:rsid w:val="2F5517A9"/>
    <w:rsid w:val="2FB92143"/>
    <w:rsid w:val="35505594"/>
    <w:rsid w:val="3A5D101D"/>
    <w:rsid w:val="3DB43A0B"/>
    <w:rsid w:val="3DBC3167"/>
    <w:rsid w:val="43DF4E23"/>
    <w:rsid w:val="47B23650"/>
    <w:rsid w:val="48B60975"/>
    <w:rsid w:val="4FFA4434"/>
    <w:rsid w:val="505C7F65"/>
    <w:rsid w:val="5C8640BE"/>
    <w:rsid w:val="5F2559DD"/>
    <w:rsid w:val="60B205F1"/>
    <w:rsid w:val="6A4964A7"/>
    <w:rsid w:val="70547A2E"/>
    <w:rsid w:val="75A842BC"/>
    <w:rsid w:val="768F492D"/>
    <w:rsid w:val="785A162E"/>
    <w:rsid w:val="7A3F34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宋体"/>
    </w:rPr>
  </w:style>
  <w:style w:type="paragraph" w:styleId="3">
    <w:name w:val="Body Text"/>
    <w:basedOn w:val="1"/>
    <w:semiHidden/>
    <w:qFormat/>
    <w:uiPriority w:val="0"/>
    <w:rPr>
      <w:rFonts w:ascii="仿宋" w:hAnsi="仿宋" w:eastAsia="仿宋" w:cs="仿宋"/>
      <w:sz w:val="31"/>
      <w:szCs w:val="31"/>
      <w:lang w:eastAsia="en-US"/>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99"/>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21"/>
    <w:basedOn w:val="8"/>
    <w:qFormat/>
    <w:uiPriority w:val="0"/>
    <w:rPr>
      <w:rFonts w:hint="eastAsia" w:ascii="宋体" w:hAnsi="宋体" w:eastAsia="宋体" w:cs="宋体"/>
      <w:color w:val="000000"/>
      <w:sz w:val="21"/>
      <w:szCs w:val="21"/>
      <w:u w:val="none"/>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12</Pages>
  <Words>606</Words>
  <Characters>668</Characters>
  <Lines>46</Lines>
  <Paragraphs>13</Paragraphs>
  <TotalTime>59</TotalTime>
  <ScaleCrop>false</ScaleCrop>
  <LinksUpToDate>false</LinksUpToDate>
  <CharactersWithSpaces>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2022-10-28T01:07:00Z</dcterms:created>
  <dc:creator> </dc:creator>
  <cp:lastModifiedBy> </cp:lastModifiedBy>
  <cp:lastPrinted>2026-04-27T10:22:00Z</cp:lastPrinted>
  <dcterms:modified xsi:type="dcterms:W3CDTF">2026-04-27T11:12:43Z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718F8125A93B4377846A9A3BFE142F95_13</vt:lpwstr>
  </property>
  <property fmtid="{D5CDD505-2E9C-101B-9397-08002B2CF9AE}" pid="4" name="KSOTemplateDocerSaveRecord">
    <vt:lpwstr>eyJoZGlkIjoiMGY0MGQ3ODk5N2QxYjdkNjY3MTlkZTAxNjc0MDE3N2QiLCJ1c2VySWQiOiIxNjg3NzkyMzEyIn0=</vt:lpwstr>
  </property>
</Properties>
</file>